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df" ContentType="application/pdf"/>
  <Override PartName="/word/media/rId17.pdf" ContentType="application/pdf"/>
  <Override PartName="/word/media/rId21.pdf" ContentType="application/pdf"/>
  <Override PartName="/word/media/rId26.pdf" ContentType="application/pdf"/>
  <Override PartName="/word/media/rId31.pdf" ContentType="application/pdf"/>
  <Override PartName="/word/media/rId36.pdf" ContentType="application/pdf"/>
  <Override PartName="/word/media/rId41.pdf" ContentType="application/pdf"/>
  <Override PartName="/word/media/rId46.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TorusFold: Torus-Aware Deep Learning Architectures for Circular RNA 3D Structure Prediction</w:t>
      </w:r>
    </w:p>
    <w:p>
      <w:pPr>
        <w:pStyle w:val="Author"/>
      </w:pPr>
      <w:r>
        <w:t xml:space="preserve">iGEM FBH Team</w:t>
      </w:r>
      <w:r>
        <w:br/>
      </w:r>
      <w:r>
        <w:rPr>
          <w:i/>
          <w:iCs/>
        </w:rPr>
        <w:t xml:space="preserve">iGEM 2026, First Build High School</w:t>
      </w:r>
    </w:p>
    <w:p>
      <w:pPr>
        <w:pStyle w:val="Date"/>
      </w:pPr>
      <w:r>
        <w:t xml:space="preserve">2026-06-25</w:t>
      </w:r>
    </w:p>
    <w:p>
      <w:pPr>
        <w:pStyle w:val="AbstractTitle"/>
      </w:pPr>
      <w:r>
        <w:t xml:space="preserve">Abstract</w:t>
      </w:r>
    </w:p>
    <w:p>
      <w:pPr>
        <w:pStyle w:val="Abstract"/>
      </w:pPr>
      <w:r>
        <w:t xml:space="preserve">Circular RNAs (circRNAs) represent a promising therapeutic modality for vaccine development and gene regulation, yet computational prediction of their 3D structures remains challenging. No experimental circRNA structures exist in the Protein Data Bank, and standard deep learning architectures are fundamentally incompatible with circular topology: linear positional encodings violate the periodicity constraint PE(i)</w:t>
      </w:r>
      <w:r>
        <w:t xml:space="preserve"> </w:t>
      </w:r>
      <m:oMath>
        <m:r>
          <m:rPr>
            <m:sty m:val="p"/>
          </m:rPr>
          <m:t>≠</m:t>
        </m:r>
      </m:oMath>
      <w:r>
        <w:t xml:space="preserve"> </w:t>
      </w:r>
      <w:r>
        <w:t xml:space="preserve">PE(i+L), treating the back-spliced junction (BSJ) as maximally distant when it is spatially adjacent.</w:t>
      </w:r>
    </w:p>
    <w:p>
      <w:pPr>
        <w:pStyle w:val="Abstract"/>
      </w:pPr>
      <w:r>
        <w:t xml:space="preserve">Here we present TorusFold, a systematic exploration of eight deep learning architectures for circRNA 3D structure prediction under data scarcity. We introduce Torus Positional Encoding (TPE) that mathematically guarantees periodicity through sinusoidal functions with period L, enabling neural networks to respect circular topology. We compare EGNN-based cascade (Scheme 1, RMSD 13.85Å), physics-only solver (Scheme 2,</w:t>
      </w:r>
      <w:r>
        <w:t xml:space="preserve"> </w:t>
      </w:r>
      <m:oMath>
        <m:r>
          <m:rPr>
            <m:sty m:val="p"/>
          </m:rPr>
          <m:t>∼</m:t>
        </m:r>
      </m:oMath>
      <w:r>
        <w:t xml:space="preserve">2Å RMSD), DDPM+EGNN guided diffusion (Scheme 4, TBD), GNN latent diffusion (Scheme 6, RMSD 13.91Å, closure 0.02Å), Mamba+Transformer hybrid (Scheme 7, TBD), and Sparse Pair-Guided Hybrid (Scheme 8, TBD). Schemes 3 and 5 were abandoned due to persistent training instabilities (gradient explosion, CPU saturation), providing instructive negative results.</w:t>
      </w:r>
    </w:p>
    <w:p>
      <w:pPr>
        <w:pStyle w:val="Abstract"/>
      </w:pPr>
      <w:r>
        <w:t xml:space="preserve">On our PDB-derived circularized test set (N=7), Scheme 6 achieves RMSD 13.91Å with closure error 0.02Å—learning circular closure end-to-end without explicit constraints. Scheme 2 achieves</w:t>
      </w:r>
      <w:r>
        <w:t xml:space="preserve"> </w:t>
      </w:r>
      <m:oMath>
        <m:r>
          <m:rPr>
            <m:sty m:val="p"/>
          </m:rPr>
          <m:t>∼</m:t>
        </m:r>
      </m:oMath>
      <w:r>
        <w:t xml:space="preserve">2Å RMSD with guaranteed closure. Comparison with IsRNA, AlphaFold3, and FARFAR2 is pending. TPE versus standard positional encoding ablation is pending. We establish evaluation protocols specific to circRNA (BSJ closure error, circular distance metrics) and release benchmark datasets for community use. TorusFold provides a methodological foundation for circRNA structure prediction where none existed.</w:t>
      </w:r>
    </w:p>
    <w:bookmarkStart w:id="9" w:name="introduction"/>
    <w:p>
      <w:pPr>
        <w:pStyle w:val="Heading1"/>
      </w:pPr>
      <w:r>
        <w:t xml:space="preserve">Introduction</w:t>
      </w:r>
    </w:p>
    <w:p>
      <w:pPr>
        <w:pStyle w:val="FirstParagraph"/>
      </w:pPr>
      <w:r>
        <w:t xml:space="preserve">Circular RNAs (circRNAs) have emerged as a promising platform for therapeutic development, particularly in vaccine applications where their covalently closed structure confers enhanced stability and reduced immunogenicity compared to linear mRNA counterparts</w:t>
      </w:r>
      <w:r>
        <w:t xml:space="preserve"> </w:t>
      </w:r>
      <w:r>
        <w:t xml:space="preserve">. Unlike linear RNAs with distinct 5’ and 3’ termini, circRNAs form closed loops through back-splicing, creating a unique circular topology where the first and last nucleotides are covalently linked via a back-spliced junction (BSJ). This circular architecture fundamentally alters how we must approach computational structure prediction.</w:t>
      </w:r>
    </w:p>
    <w:p>
      <w:pPr>
        <w:pStyle w:val="BodyText"/>
      </w:pPr>
      <w:r>
        <w:t xml:space="preserve">The challenge is twofold. First, there is a fundamental data barrier: as of 2026, no experimental circRNA crystal structures exist in the Protein Data Bank, leaving the field without ground truth for training or validation. Second, existing deep learning architectures are designed for linear sequences. Standard transformer positional encodings</w:t>
      </w:r>
      <w:r>
        <w:t xml:space="preserve"> </w:t>
      </w:r>
      <w:r>
        <w:t xml:space="preserve"> </w:t>
      </w:r>
      <w:r>
        <w:t xml:space="preserve">violate circular periodicity: position i is encoded as maximally distant from position L-i, when in circRNA these positions may be spatially adjacent due to the circular fold. AlphaFold3</w:t>
      </w:r>
      <w:r>
        <w:t xml:space="preserve"> </w:t>
      </w:r>
      <w:r>
        <w:t xml:space="preserve"> </w:t>
      </w:r>
      <w:r>
        <w:t xml:space="preserve">and RoseTTAFold</w:t>
      </w:r>
      <w:r>
        <w:t xml:space="preserve"> </w:t>
      </w:r>
      <w:r>
        <w:t xml:space="preserve">, while capable of RNA structure prediction, have no mechanism to enforce or learn the BSJ closure constraint that defines circRNA topology.</w:t>
      </w:r>
    </w:p>
    <w:p>
      <w:pPr>
        <w:pStyle w:val="BodyText"/>
      </w:pPr>
      <w:r>
        <w:t xml:space="preserve">Prior approaches to circRNA structure prediction have relied on physics-based simulation. IsRNA</w:t>
      </w:r>
      <w:r>
        <w:t xml:space="preserve"> </w:t>
      </w:r>
      <w:r>
        <w:t xml:space="preserve"> </w:t>
      </w:r>
      <w:r>
        <w:t xml:space="preserve">provides RNA 3D structure prediction through integrative simulated annealing, and its coarse-grained molecular dynamics framework can be adapted for circRNA with circular constraints, but requires substantial computational resources and expert configuration. ViennaRNA</w:t>
      </w:r>
      <w:r>
        <w:t xml:space="preserve"> </w:t>
      </w:r>
      <w:r>
        <w:t xml:space="preserve"> </w:t>
      </w:r>
      <w:r>
        <w:t xml:space="preserve">provides circular-mode secondary structure prediction but stops short of 3D coordinates. The gap remains: no deep learning method has been specifically designed for circRNA 3D structure, and no systematic benchmark exists to evaluate competing approaches.</w:t>
      </w:r>
    </w:p>
    <w:p>
      <w:pPr>
        <w:pStyle w:val="BodyText"/>
      </w:pPr>
      <w:r>
        <w:t xml:space="preserve">Here we address this gap through TorusFold, a framework that introduces torus-aware architectural components and systematically compares eight deep learning paradigms for circRNA 3D structure prediction. Our contributions are: (1) Torus Positional Encoding (TPE), a mathematically principled positional encoding that guarantees circular periodicity; (2) a systematic comparison of eight architectures spanning the design space of equivariance, diffusion, iterative refinement, and attention mechanisms; (3) evaluation protocols specific to circRNA including BSJ closure error and circular distance metrics; and (4) benchmark datasets and baselines for community use.</w:t>
      </w:r>
    </w:p>
    <w:bookmarkEnd w:id="9"/>
    <w:bookmarkStart w:id="51" w:name="results"/>
    <w:p>
      <w:pPr>
        <w:pStyle w:val="Heading1"/>
      </w:pPr>
      <w:r>
        <w:t xml:space="preserve">Results</w:t>
      </w:r>
    </w:p>
    <w:bookmarkStart w:id="14" w:name="X9ec268a2a1b9de36ea0b681e4a94c980d31f03e"/>
    <w:p>
      <w:pPr>
        <w:pStyle w:val="Heading2"/>
      </w:pPr>
      <w:r>
        <w:t xml:space="preserve">Torus Positional Encoding Preserves Circular Periodicity</w:t>
      </w:r>
    </w:p>
    <w:p>
      <w:pPr>
        <w:pStyle w:val="FirstParagraph"/>
      </w:pPr>
      <w:r>
        <w:t xml:space="preserve">The defining property of circRNA is circular topology: the sequence forms a closed loop where position 0 and position L-1 are connected. Standard sinusoidal positional encoding, designed for linear sequences, violates this constraint (Figure </w:t>
      </w:r>
      <w:hyperlink w:anchor="fig:tpe">
        <w:r>
          <w:rPr>
            <w:rStyle w:val="Hyperlink"/>
          </w:rPr>
          <w:t xml:space="preserve">1</w:t>
        </w:r>
      </w:hyperlink>
      <w:r>
        <w:t xml:space="preserve">). For a sequence of length L, standard encoding computes:</w:t>
      </w:r>
    </w:p>
    <w:p>
      <w:pPr>
        <w:pStyle w:val="BodyText"/>
      </w:pPr>
      <m:oMathPara>
        <m:oMathParaPr>
          <m:jc m:val="center"/>
        </m:oMathParaPr>
        <m:oMath>
          <m:r>
            <m:rPr>
              <m:nor/>
              <m:sty m:val="p"/>
            </m:rPr>
            <m:t>PE</m:t>
          </m:r>
          <m:r>
            <m:rPr>
              <m:sty m:val="p"/>
            </m:rPr>
            <m:t>(</m:t>
          </m:r>
          <m:r>
            <m:t>i</m:t>
          </m:r>
          <m:r>
            <m:rPr>
              <m:sty m:val="p"/>
            </m:rPr>
            <m:t>,</m:t>
          </m:r>
          <m:r>
            <m:t>2</m:t>
          </m:r>
          <m:r>
            <m:t>h</m:t>
          </m:r>
          <m:r>
            <m:rPr>
              <m:sty m:val="p"/>
            </m:rPr>
            <m:t>)</m:t>
          </m:r>
          <m:r>
            <m:rPr>
              <m:sty m:val="p"/>
            </m:rPr>
            <m:t>=</m:t>
          </m:r>
          <m:r>
            <m:rPr>
              <m:sty m:val="p"/>
            </m:rPr>
            <m:t>sin</m:t>
          </m:r>
          <m:r>
            <m:rPr>
              <m:sty m:val="p"/>
            </m:rPr>
            <m:t>(</m:t>
          </m:r>
          <m:r>
            <m:t>i</m:t>
          </m:r>
          <m:r>
            <m:rPr>
              <m:sty m:val="p"/>
            </m:rPr>
            <m:t>/</m:t>
          </m:r>
          <m:sSup>
            <m:e>
              <m:r>
                <m:t>10000</m:t>
              </m:r>
            </m:e>
            <m:sup>
              <m:r>
                <m:t>2</m:t>
              </m:r>
              <m:r>
                <m:t>h</m:t>
              </m:r>
              <m:r>
                <m:rPr>
                  <m:sty m:val="p"/>
                </m:rPr>
                <m:t>/</m:t>
              </m:r>
              <m:r>
                <m:t>d</m:t>
              </m:r>
            </m:sup>
          </m:sSup>
          <m:r>
            <m:rPr>
              <m:sty m:val="p"/>
            </m:rPr>
            <m:t>)</m:t>
          </m:r>
        </m:oMath>
      </m:oMathPara>
    </w:p>
    <w:p>
      <w:pPr>
        <w:pStyle w:val="FirstParagraph"/>
      </w:pPr>
      <m:oMathPara>
        <m:oMathParaPr>
          <m:jc m:val="center"/>
        </m:oMathParaPr>
        <m:oMath>
          <m:r>
            <m:rPr>
              <m:nor/>
              <m:sty m:val="p"/>
            </m:rPr>
            <m:t>PE</m:t>
          </m:r>
          <m:r>
            <m:rPr>
              <m:sty m:val="p"/>
            </m:rPr>
            <m:t>(</m:t>
          </m:r>
          <m:r>
            <m:t>i</m:t>
          </m:r>
          <m:r>
            <m:rPr>
              <m:sty m:val="p"/>
            </m:rPr>
            <m:t>,</m:t>
          </m:r>
          <m:r>
            <m:t>2</m:t>
          </m:r>
          <m:r>
            <m:t>h</m:t>
          </m:r>
          <m:r>
            <m:rPr>
              <m:sty m:val="p"/>
            </m:rPr>
            <m:t>+</m:t>
          </m:r>
          <m:r>
            <m:t>1</m:t>
          </m:r>
          <m:r>
            <m:rPr>
              <m:sty m:val="p"/>
            </m:rPr>
            <m:t>)</m:t>
          </m:r>
          <m:r>
            <m:rPr>
              <m:sty m:val="p"/>
            </m:rPr>
            <m:t>=</m:t>
          </m:r>
          <m:r>
            <m:rPr>
              <m:sty m:val="p"/>
            </m:rPr>
            <m:t>cos</m:t>
          </m:r>
          <m:r>
            <m:rPr>
              <m:sty m:val="p"/>
            </m:rPr>
            <m:t>(</m:t>
          </m:r>
          <m:r>
            <m:t>i</m:t>
          </m:r>
          <m:r>
            <m:rPr>
              <m:sty m:val="p"/>
            </m:rPr>
            <m:t>/</m:t>
          </m:r>
          <m:sSup>
            <m:e>
              <m:r>
                <m:t>10000</m:t>
              </m:r>
            </m:e>
            <m:sup>
              <m:r>
                <m:t>2</m:t>
              </m:r>
              <m:r>
                <m:t>h</m:t>
              </m:r>
              <m:r>
                <m:rPr>
                  <m:sty m:val="p"/>
                </m:rPr>
                <m:t>/</m:t>
              </m:r>
              <m:r>
                <m:t>d</m:t>
              </m:r>
            </m:sup>
          </m:sSup>
          <m:r>
            <m:rPr>
              <m:sty m:val="p"/>
            </m:rPr>
            <m:t>)</m:t>
          </m:r>
        </m:oMath>
      </m:oMathPara>
    </w:p>
    <w:p>
      <w:pPr>
        <w:pStyle w:val="FirstParagraph"/>
      </w:pPr>
      <w:r>
        <w:t xml:space="preserve">This encoding has no periodicity guarantee: PE(0)</w:t>
      </w:r>
      <w:r>
        <w:t xml:space="preserve"> </w:t>
      </w:r>
      <m:oMath>
        <m:r>
          <m:rPr>
            <m:sty m:val="p"/>
          </m:rPr>
          <m:t>≠</m:t>
        </m:r>
      </m:oMath>
      <w:r>
        <w:t xml:space="preserve"> </w:t>
      </w:r>
      <w:r>
        <w:t xml:space="preserve">PE(L), and the encoding implicitly treats positions 0 and L-1 as maximally distant in sequence space, regardless of their spatial relationship in the folded circRNA.</w:t>
      </w:r>
    </w:p>
    <w:p>
      <w:pPr>
        <w:pStyle w:val="BodyText"/>
      </w:pPr>
      <w:r>
        <w:t xml:space="preserve">We introduce Torus Positional Encoding (TPE) with explicit periodicity:</w:t>
      </w:r>
    </w:p>
    <w:p>
      <w:pPr>
        <w:pStyle w:val="BodyText"/>
      </w:pPr>
      <m:oMathPara>
        <m:oMathParaPr>
          <m:jc m:val="center"/>
        </m:oMathParaPr>
        <m:oMath>
          <m:r>
            <m:rPr>
              <m:nor/>
              <m:sty m:val="p"/>
            </m:rPr>
            <m:t>TPE</m:t>
          </m:r>
          <m:r>
            <m:rPr>
              <m:sty m:val="p"/>
            </m:rPr>
            <m:t>(</m:t>
          </m:r>
          <m:r>
            <m:t>i</m:t>
          </m:r>
          <m:r>
            <m:rPr>
              <m:sty m:val="p"/>
            </m:rPr>
            <m:t>,</m:t>
          </m:r>
          <m:r>
            <m:t>2</m:t>
          </m:r>
          <m:r>
            <m:t>h</m:t>
          </m:r>
          <m:r>
            <m:rPr>
              <m:sty m:val="p"/>
            </m:rPr>
            <m:t>)</m:t>
          </m:r>
          <m:r>
            <m:rPr>
              <m:sty m:val="p"/>
            </m:rPr>
            <m:t>=</m:t>
          </m:r>
          <m:r>
            <m:rPr>
              <m:sty m:val="p"/>
            </m:rPr>
            <m:t>sin</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m:oMathPara>
        <m:oMathParaPr>
          <m:jc m:val="center"/>
        </m:oMathParaPr>
        <m:oMath>
          <m:r>
            <m:rPr>
              <m:nor/>
              <m:sty m:val="p"/>
            </m:rPr>
            <m:t>TPE</m:t>
          </m:r>
          <m:r>
            <m:rPr>
              <m:sty m:val="p"/>
            </m:rPr>
            <m:t>(</m:t>
          </m:r>
          <m:r>
            <m:t>i</m:t>
          </m:r>
          <m:r>
            <m:rPr>
              <m:sty m:val="p"/>
            </m:rPr>
            <m:t>,</m:t>
          </m:r>
          <m:r>
            <m:t>2</m:t>
          </m:r>
          <m:r>
            <m:t>h</m:t>
          </m:r>
          <m:r>
            <m:rPr>
              <m:sty m:val="p"/>
            </m:rPr>
            <m:t>+</m:t>
          </m:r>
          <m:r>
            <m:t>1</m:t>
          </m:r>
          <m:r>
            <m:rPr>
              <m:sty m:val="p"/>
            </m:rPr>
            <m:t>)</m:t>
          </m:r>
          <m:r>
            <m:rPr>
              <m:sty m:val="p"/>
            </m:rPr>
            <m:t>=</m:t>
          </m:r>
          <m:r>
            <m:rPr>
              <m:sty m:val="p"/>
            </m:rPr>
            <m:t>cos</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w:r>
        <w:t xml:space="preserve">where</w:t>
      </w:r>
      <w:r>
        <w:t xml:space="preserve"> </w:t>
      </w:r>
      <m:oMath>
        <m:r>
          <m:t>h</m:t>
        </m:r>
        <m:r>
          <m:rPr>
            <m:sty m:val="p"/>
          </m:rPr>
          <m:t>=</m:t>
        </m:r>
        <m:r>
          <m:t>1</m:t>
        </m:r>
        <m:r>
          <m:rPr>
            <m:sty m:val="p"/>
          </m:rPr>
          <m:t>,</m:t>
        </m:r>
        <m:r>
          <m:t>2</m:t>
        </m:r>
        <m:r>
          <m:rPr>
            <m:sty m:val="p"/>
          </m:rPr>
          <m:t>,</m:t>
        </m:r>
        <m:r>
          <m:rPr>
            <m:sty m:val="p"/>
          </m:rPr>
          <m:t>.</m:t>
        </m:r>
        <m:r>
          <m:rPr>
            <m:sty m:val="p"/>
          </m:rPr>
          <m:t>.</m:t>
        </m:r>
        <m:r>
          <m:rPr>
            <m:sty m:val="p"/>
          </m:rPr>
          <m:t>.</m:t>
        </m:r>
        <m:r>
          <m:rPr>
            <m:sty m:val="p"/>
          </m:rPr>
          <m:t>,</m:t>
        </m:r>
        <m:r>
          <m:t>H</m:t>
        </m:r>
      </m:oMath>
      <w:r>
        <w:t xml:space="preserve"> </w:t>
      </w:r>
      <w:r>
        <w:t xml:space="preserve">is the harmonic index. By construction, TPE(i) = TPE(i+L) for all i, guaranteeing that the neural network receives identical positional information for equivalent positions in the circular sequence. We verified this property empirically: across lengths</w:t>
      </w:r>
      <w:r>
        <w:t xml:space="preserve"> </w:t>
      </w:r>
      <m:oMath>
        <m:r>
          <m:t>L</m:t>
        </m:r>
        <m:r>
          <m:rPr>
            <m:sty m:val="p"/>
          </m:rPr>
          <m:t>=</m:t>
        </m:r>
        <m:r>
          <m:t>50</m:t>
        </m:r>
        <m:r>
          <m:rPr>
            <m:sty m:val="p"/>
          </m:rPr>
          <m:t>,</m:t>
        </m:r>
        <m:r>
          <m:t>100</m:t>
        </m:r>
        <m:r>
          <m:rPr>
            <m:sty m:val="p"/>
          </m:rPr>
          <m:t>,</m:t>
        </m:r>
        <m:r>
          <m:t>200</m:t>
        </m:r>
        <m:r>
          <m:rPr>
            <m:sty m:val="p"/>
          </m:rPr>
          <m:t>,</m:t>
        </m:r>
        <m:r>
          <m:t>500</m:t>
        </m:r>
      </m:oMath>
      <w:r>
        <w:t xml:space="preserve"> </w:t>
      </w:r>
      <w:r>
        <w:t xml:space="preserve">and harmonics</w:t>
      </w:r>
      <w:r>
        <w:t xml:space="preserve"> </w:t>
      </w:r>
      <m:oMath>
        <m:r>
          <m:t>H</m:t>
        </m:r>
        <m:r>
          <m:rPr>
            <m:sty m:val="p"/>
          </m:rPr>
          <m:t>=</m:t>
        </m:r>
        <m:r>
          <m:t>16</m:t>
        </m:r>
      </m:oMath>
      <w:r>
        <w:t xml:space="preserve">, the maximum deviation</w:t>
      </w:r>
      <w:r>
        <w:t xml:space="preserve"> </w:t>
      </w:r>
      <m:oMath>
        <m:r>
          <m:rPr>
            <m:sty m:val="p"/>
          </m:rPr>
          <m:t>|</m:t>
        </m:r>
        <m:r>
          <m:rPr>
            <m:nor/>
            <m:sty m:val="p"/>
          </m:rPr>
          <m:t>TPE</m:t>
        </m:r>
        <m:r>
          <m:rPr>
            <m:sty m:val="p"/>
          </m:rPr>
          <m:t>(</m:t>
        </m:r>
        <m:r>
          <m:t>i</m:t>
        </m:r>
        <m:r>
          <m:rPr>
            <m:sty m:val="p"/>
          </m:rPr>
          <m:t>)</m:t>
        </m:r>
        <m:r>
          <m:rPr>
            <m:sty m:val="p"/>
          </m:rPr>
          <m:t>−</m:t>
        </m:r>
        <m:r>
          <m:rPr>
            <m:nor/>
            <m:sty m:val="p"/>
          </m:rPr>
          <m:t>TPE</m:t>
        </m:r>
        <m:r>
          <m:rPr>
            <m:sty m:val="p"/>
          </m:rPr>
          <m:t>(</m:t>
        </m:r>
        <m:r>
          <m:t>i</m:t>
        </m:r>
        <m:r>
          <m:rPr>
            <m:sty m:val="p"/>
          </m:rPr>
          <m:t>+</m:t>
        </m:r>
        <m:r>
          <m:t>L</m:t>
        </m:r>
        <m:r>
          <m:rPr>
            <m:sty m:val="p"/>
          </m:rPr>
          <m:t>)</m:t>
        </m:r>
        <m:r>
          <m:rPr>
            <m:sty m:val="p"/>
          </m:rPr>
          <m:t>|</m:t>
        </m:r>
      </m:oMath>
      <w:r>
        <w:t xml:space="preserve"> </w:t>
      </w:r>
      <w:r>
        <w:t xml:space="preserve">was below</w:t>
      </w:r>
      <w:r>
        <w:t xml:space="preserve"> </w:t>
      </w:r>
      <m:oMath>
        <m:sSup>
          <m:e>
            <m:r>
              <m:t>10</m:t>
            </m:r>
          </m:e>
          <m:sup>
            <m:r>
              <m:rPr>
                <m:sty m:val="p"/>
              </m:rPr>
              <m:t>−</m:t>
            </m:r>
            <m:r>
              <m:t>6</m:t>
            </m:r>
          </m:sup>
        </m:sSup>
      </m:oMath>
      <w:r>
        <w:t xml:space="preserve"> </w:t>
      </w:r>
      <w:r>
        <w:t xml:space="preserve">(machine precision).</w:t>
      </w:r>
    </w:p>
    <w:bookmarkStart w:id="13" w:name="fig:tpe"/>
    <w:p>
      <w:pPr>
        <w:pStyle w:val="CaptionedFigure"/>
      </w:pPr>
      <w:r>
        <w:drawing>
          <wp:inline>
            <wp:extent cx="5334000" cy="1850698"/>
            <wp:effectExtent b="0" l="0" r="0" t="0"/>
            <wp:docPr descr="" title="" id="11" name="Picture"/>
            <a:graphic>
              <a:graphicData uri="http://schemas.openxmlformats.org/drawingml/2006/picture">
                <pic:pic>
                  <pic:nvPicPr>
                    <pic:cNvPr descr="fig1_tpe_periodicity.pdf" id="12" name="Picture"/>
                    <pic:cNvPicPr>
                      <a:picLocks noChangeArrowheads="1" noChangeAspect="1"/>
                    </pic:cNvPicPr>
                  </pic:nvPicPr>
                  <pic:blipFill>
                    <a:blip r:embed="rId10"/>
                    <a:stretch>
                      <a:fillRect/>
                    </a:stretch>
                  </pic:blipFill>
                  <pic:spPr bwMode="auto">
                    <a:xfrm>
                      <a:off x="0" y="0"/>
                      <a:ext cx="5334000" cy="1850698"/>
                    </a:xfrm>
                    <a:prstGeom prst="rect">
                      <a:avLst/>
                    </a:prstGeom>
                    <a:noFill/>
                    <a:ln w="9525">
                      <a:noFill/>
                      <a:headEnd/>
                      <a:tailEnd/>
                    </a:ln>
                  </pic:spPr>
                </pic:pic>
              </a:graphicData>
            </a:graphic>
          </wp:inline>
        </w:drawing>
      </w:r>
    </w:p>
    <w:p>
      <w:pPr>
        <w:pStyle w:val="ImageCaption"/>
      </w:pPr>
      <w:r>
        <w:rPr>
          <w:b/>
          <w:bCs/>
        </w:rPr>
        <w:t xml:space="preserve">Torus Positional Encoding preserves circular periodicity.</w:t>
      </w:r>
      <w:r>
        <w:t xml:space="preserve"> </w:t>
      </w:r>
      <w:r>
        <w:t xml:space="preserve">(A) Standard positional encoding (left) vs. TPE (right) for a sequence of length L=100. Standard PE has PE(0)</w:t>
      </w:r>
      <w:r>
        <w:t xml:space="preserve"> </w:t>
      </w:r>
      <m:oMath>
        <m:r>
          <m:rPr>
            <m:sty m:val="p"/>
          </m:rPr>
          <m:t>≠</m:t>
        </m:r>
      </m:oMath>
      <w:r>
        <w:t xml:space="preserve"> </w:t>
      </w:r>
      <w:r>
        <w:t xml:space="preserve">PE(L-1), violating circular topology. TPE guarantees PE(0) = PE(L) by construction. (B) Visualization of TPE harmonics: low harmonics capture global position, high harmonics capture local structure. (C) CircRNA topology: BSJ connects first and last nucleotides, requiring periodic encoding.</w:t>
      </w:r>
    </w:p>
    <w:bookmarkEnd w:id="13"/>
    <w:bookmarkEnd w:id="14"/>
    <w:bookmarkStart w:id="16" w:name="Xebd5b88116d59b1fcd8b334ede3cecf38654f71"/>
    <w:p>
      <w:pPr>
        <w:pStyle w:val="Heading2"/>
      </w:pPr>
      <w:r>
        <w:t xml:space="preserve">Eight Architectures with Complementary Trade-offs</w:t>
      </w:r>
    </w:p>
    <w:p>
      <w:pPr>
        <w:pStyle w:val="FirstParagraph"/>
      </w:pPr>
      <w:r>
        <w:t xml:space="preserve">We implemented eight deep learning architectures for circRNA 3D structure prediction, each representing different design principles (Table </w:t>
      </w:r>
      <w:hyperlink w:anchor="tab:schemes">
        <w:r>
          <w:rPr>
            <w:rStyle w:val="Hyperlink"/>
          </w:rPr>
          <w:t xml:space="preserve">1</w:t>
        </w:r>
      </w:hyperlink>
      <w:r>
        <w:t xml:space="preserve">). Two schemes (3, 5) were abandoned during development due to training instabilities; the remaining six represent the spectrum of viable approaches.</w:t>
      </w:r>
    </w:p>
    <w:bookmarkStart w:id="15" w:name="tab:schemes"/>
    <w:p>
      <w:pPr>
        <w:pStyle w:val="TableCaption"/>
      </w:pPr>
      <w:r>
        <w:t xml:space="preserve">Summary of eight architectural schemes for circRNA 3D structure prediction.</w:t>
      </w:r>
    </w:p>
    <w:tbl>
      <w:tblPr>
        <w:tblStyle w:val="Table"/>
        <w:tblW w:type="auto" w:w="0"/>
        <w:tblLook w:firstRow="1" w:lastRow="0" w:firstColumn="0" w:lastColumn="0" w:noHBand="0" w:noVBand="0" w:val="0020"/>
        <w:tblCaption w:val="Summary of eight architectural schemes for circRNA 3D structure prediction."/>
      </w:tblPr>
      <w:tblGrid>
        <w:gridCol w:w="1320"/>
        <w:gridCol w:w="1320"/>
        <w:gridCol w:w="1320"/>
        <w:gridCol w:w="1320"/>
        <w:gridCol w:w="1320"/>
        <w:gridCol w:w="1320"/>
      </w:tblGrid>
      <w:tr>
        <w:trPr>
          <w:tblHeader w:val="on"/>
        </w:trPr>
        <w:tc>
          <w:tcPr/>
          <w:p>
            <w:pPr>
              <w:pStyle w:val="Compact"/>
              <w:jc w:val="left"/>
            </w:pPr>
            <w:r>
              <w:t xml:space="preserve">Scheme</w:t>
            </w:r>
          </w:p>
        </w:tc>
        <w:tc>
          <w:tcPr/>
          <w:p>
            <w:pPr>
              <w:pStyle w:val="Compact"/>
              <w:jc w:val="left"/>
            </w:pPr>
            <w:r>
              <w:t xml:space="preserve">Architecture</w:t>
            </w:r>
          </w:p>
        </w:tc>
        <w:tc>
          <w:tcPr/>
          <w:p>
            <w:pPr>
              <w:pStyle w:val="Compact"/>
              <w:jc w:val="center"/>
            </w:pPr>
            <w:r>
              <w:t xml:space="preserve">Complexity</w:t>
            </w:r>
          </w:p>
        </w:tc>
        <w:tc>
          <w:tcPr/>
          <w:p>
            <w:pPr>
              <w:pStyle w:val="Compact"/>
              <w:jc w:val="center"/>
            </w:pPr>
            <w:r>
              <w:t xml:space="preserve">RMSD (Å)</w:t>
            </w:r>
          </w:p>
        </w:tc>
        <w:tc>
          <w:tcPr/>
          <w:p>
            <w:pPr>
              <w:pStyle w:val="Compact"/>
              <w:jc w:val="center"/>
            </w:pPr>
            <w:r>
              <w:t xml:space="preserve">Closure (Å)</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EGNN + Physics</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13.85</w:t>
            </w:r>
          </w:p>
        </w:tc>
        <w:tc>
          <w:tcPr/>
          <w:p>
            <w:pPr>
              <w:pStyle w:val="Compact"/>
              <w:jc w:val="center"/>
            </w:pPr>
            <w:r>
              <w:t xml:space="preserve">5.36</w:t>
            </w:r>
          </w:p>
        </w:tc>
        <w:tc>
          <w:tcPr/>
          <w:p>
            <w:pPr>
              <w:pStyle w:val="Compact"/>
              <w:jc w:val="left"/>
            </w:pPr>
            <w:r>
              <w:t xml:space="preserve">Trained</w:t>
            </w:r>
          </w:p>
        </w:tc>
      </w:tr>
      <w:tr>
        <w:tc>
          <w:tcPr/>
          <w:p>
            <w:pPr>
              <w:pStyle w:val="Compact"/>
              <w:jc w:val="left"/>
            </w:pPr>
            <w:r>
              <w:t xml:space="preserve">2</w:t>
            </w:r>
          </w:p>
        </w:tc>
        <w:tc>
          <w:tcPr/>
          <w:p>
            <w:pPr>
              <w:pStyle w:val="Compact"/>
              <w:jc w:val="left"/>
            </w:pPr>
            <w:r>
              <w:t xml:space="preserve">Physics Solver</w:t>
            </w:r>
          </w:p>
        </w:tc>
        <w:tc>
          <w:tcPr/>
          <w:p>
            <w:pPr>
              <w:pStyle w:val="Compact"/>
              <w:jc w:val="center"/>
            </w:pPr>
            <w:r>
              <w:t xml:space="preserve">O(L)</w:t>
            </w:r>
          </w:p>
        </w:tc>
        <w:tc>
          <w:tcPr/>
          <w:p>
            <w:pPr>
              <w:pStyle w:val="Compact"/>
              <w:jc w:val="center"/>
            </w:pPr>
            <m:oMath>
              <m:r>
                <m:rPr>
                  <m:sty m:val="p"/>
                </m:rPr>
                <m:t>∼</m:t>
              </m:r>
            </m:oMath>
            <w:r>
              <w:t xml:space="preserve">2</w:t>
            </w:r>
          </w:p>
        </w:tc>
        <w:tc>
          <w:tcPr/>
          <w:p>
            <w:pPr>
              <w:pStyle w:val="Compact"/>
              <w:jc w:val="center"/>
            </w:pPr>
            <w:r>
              <w:t xml:space="preserve">&lt;0.1</w:t>
            </w:r>
          </w:p>
        </w:tc>
        <w:tc>
          <w:tcPr/>
          <w:p>
            <w:pPr>
              <w:pStyle w:val="Compact"/>
              <w:jc w:val="left"/>
            </w:pPr>
            <w:r>
              <w:t xml:space="preserve">Ready</w:t>
            </w:r>
          </w:p>
        </w:tc>
      </w:tr>
      <w:tr>
        <w:tc>
          <w:tcPr/>
          <w:p>
            <w:pPr>
              <w:pStyle w:val="Compact"/>
              <w:jc w:val="left"/>
            </w:pPr>
            <w:r>
              <w:t xml:space="preserve">3</w:t>
            </w:r>
          </w:p>
        </w:tc>
        <w:tc>
          <w:tcPr/>
          <w:p>
            <w:pPr>
              <w:pStyle w:val="Compact"/>
              <w:jc w:val="left"/>
            </w:pPr>
            <w:r>
              <w:t xml:space="preserve">Dual-Engine</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Abandoned</w:t>
            </w:r>
          </w:p>
        </w:tc>
      </w:tr>
      <w:tr>
        <w:tc>
          <w:tcPr/>
          <w:p>
            <w:pPr>
              <w:pStyle w:val="Compact"/>
              <w:jc w:val="left"/>
            </w:pPr>
            <w:r>
              <w:t xml:space="preserve">4</w:t>
            </w:r>
          </w:p>
        </w:tc>
        <w:tc>
          <w:tcPr/>
          <w:p>
            <w:pPr>
              <w:pStyle w:val="Compact"/>
              <w:jc w:val="left"/>
            </w:pPr>
            <w:r>
              <w:t xml:space="preserve">DDPM + EGNN</w:t>
            </w:r>
          </w:p>
        </w:tc>
        <w:tc>
          <w:tcPr/>
          <w:p>
            <w:pPr>
              <w:pStyle w:val="Compact"/>
              <w:jc w:val="center"/>
            </w:pPr>
            <w:r>
              <w:t xml:space="preserve">O(</w:t>
            </w:r>
            <m:oMath>
              <m:sSup>
                <m:e>
                  <m:r>
                    <m:t>L</m:t>
                  </m:r>
                </m:e>
                <m:sup>
                  <m:r>
                    <m:t>2</m:t>
                  </m:r>
                </m:sup>
              </m:sSup>
              <m:r>
                <m:rPr>
                  <m:sty m:val="p"/>
                </m:rPr>
                <m:t>×</m:t>
              </m:r>
              <m:r>
                <m:t>T</m:t>
              </m:r>
            </m:oMath>
            <w:r>
              <w:t xml:space="preserve">)</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Training</w:t>
            </w:r>
          </w:p>
        </w:tc>
      </w:tr>
      <w:tr>
        <w:tc>
          <w:tcPr/>
          <w:p>
            <w:pPr>
              <w:pStyle w:val="Compact"/>
              <w:jc w:val="left"/>
            </w:pPr>
            <w:r>
              <w:t xml:space="preserve">5</w:t>
            </w:r>
          </w:p>
        </w:tc>
        <w:tc>
          <w:tcPr/>
          <w:p>
            <w:pPr>
              <w:pStyle w:val="Compact"/>
              <w:jc w:val="left"/>
            </w:pPr>
            <w:r>
              <w:t xml:space="preserve">Transformer+PE</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245</w:t>
            </w:r>
          </w:p>
        </w:tc>
        <w:tc>
          <w:tcPr/>
          <w:p>
            <w:pPr>
              <w:pStyle w:val="Compact"/>
              <w:jc w:val="center"/>
            </w:pPr>
            <w:r>
              <w:t xml:space="preserve">—</w:t>
            </w:r>
          </w:p>
        </w:tc>
        <w:tc>
          <w:tcPr/>
          <w:p>
            <w:pPr>
              <w:pStyle w:val="Compact"/>
              <w:jc w:val="left"/>
            </w:pPr>
            <w:r>
              <w:t xml:space="preserve">Failed</w:t>
            </w:r>
          </w:p>
        </w:tc>
      </w:tr>
      <w:tr>
        <w:tc>
          <w:tcPr/>
          <w:p>
            <w:pPr>
              <w:pStyle w:val="Compact"/>
              <w:jc w:val="left"/>
            </w:pPr>
            <w:r>
              <w:t xml:space="preserve">5’</w:t>
            </w:r>
          </w:p>
        </w:tc>
        <w:tc>
          <w:tcPr/>
          <w:p>
            <w:pPr>
              <w:pStyle w:val="Compact"/>
              <w:jc w:val="left"/>
            </w:pPr>
            <w:r>
              <w:t xml:space="preserve">Delta + Planar</w:t>
            </w:r>
          </w:p>
        </w:tc>
        <w:tc>
          <w:tcPr/>
          <w:p>
            <w:pPr>
              <w:pStyle w:val="Compact"/>
              <w:jc w:val="center"/>
            </w:pPr>
            <w:r>
              <w:t xml:space="preserve">O(</w:t>
            </w:r>
            <m:oMath>
              <m:sSup>
                <m:e>
                  <m:r>
                    <m:t>L</m:t>
                  </m:r>
                </m:e>
                <m:sup>
                  <m:r>
                    <m:t>2</m:t>
                  </m:r>
                </m:sup>
              </m:sSup>
            </m:oMath>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Abandoned</w:t>
            </w:r>
          </w:p>
        </w:tc>
      </w:tr>
      <w:tr>
        <w:tc>
          <w:tcPr/>
          <w:p>
            <w:pPr>
              <w:pStyle w:val="Compact"/>
              <w:jc w:val="left"/>
            </w:pPr>
            <w:r>
              <w:t xml:space="preserve">6</w:t>
            </w:r>
          </w:p>
        </w:tc>
        <w:tc>
          <w:tcPr/>
          <w:p>
            <w:pPr>
              <w:pStyle w:val="Compact"/>
              <w:jc w:val="left"/>
            </w:pPr>
            <w:r>
              <w:t xml:space="preserve">GNN Latent Diff</w:t>
            </w:r>
          </w:p>
        </w:tc>
        <w:tc>
          <w:tcPr/>
          <w:p>
            <w:pPr>
              <w:pStyle w:val="Compact"/>
              <w:jc w:val="center"/>
            </w:pPr>
            <w:r>
              <w:t xml:space="preserve">O(</w:t>
            </w:r>
            <m:oMath>
              <m:sSup>
                <m:e>
                  <m:r>
                    <m:t>L</m:t>
                  </m:r>
                </m:e>
                <m:sup>
                  <m:r>
                    <m:t>2</m:t>
                  </m:r>
                </m:sup>
              </m:sSup>
              <m:r>
                <m:rPr>
                  <m:sty m:val="p"/>
                </m:rPr>
                <m:t>×</m:t>
              </m:r>
              <m:r>
                <m:t>T</m:t>
              </m:r>
            </m:oMath>
            <w:r>
              <w:t xml:space="preserve">)</w:t>
            </w:r>
          </w:p>
        </w:tc>
        <w:tc>
          <w:tcPr/>
          <w:p>
            <w:pPr>
              <w:pStyle w:val="Compact"/>
              <w:jc w:val="center"/>
            </w:pPr>
            <w:r>
              <w:t xml:space="preserve">13.91</w:t>
            </w:r>
          </w:p>
        </w:tc>
        <w:tc>
          <w:tcPr/>
          <w:p>
            <w:pPr>
              <w:pStyle w:val="Compact"/>
              <w:jc w:val="center"/>
            </w:pPr>
            <w:r>
              <w:t xml:space="preserve">0.02</w:t>
            </w:r>
          </w:p>
        </w:tc>
        <w:tc>
          <w:tcPr/>
          <w:p>
            <w:pPr>
              <w:pStyle w:val="Compact"/>
              <w:jc w:val="left"/>
            </w:pPr>
            <w:r>
              <w:t xml:space="preserve">Trained</w:t>
            </w:r>
          </w:p>
        </w:tc>
      </w:tr>
      <w:tr>
        <w:tc>
          <w:tcPr/>
          <w:p>
            <w:pPr>
              <w:pStyle w:val="Compact"/>
              <w:jc w:val="left"/>
            </w:pPr>
            <w:r>
              <w:t xml:space="preserve">7</w:t>
            </w:r>
          </w:p>
        </w:tc>
        <w:tc>
          <w:tcPr/>
          <w:p>
            <w:pPr>
              <w:pStyle w:val="Compact"/>
              <w:jc w:val="left"/>
            </w:pPr>
            <w:r>
              <w:t xml:space="preserve">Mamba+Attn</w:t>
            </w:r>
          </w:p>
        </w:tc>
        <w:tc>
          <w:tcPr/>
          <w:p>
            <w:pPr>
              <w:pStyle w:val="Compact"/>
              <w:jc w:val="center"/>
            </w:pPr>
            <w:r>
              <w:t xml:space="preserve">O(L)</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Training</w:t>
            </w:r>
          </w:p>
        </w:tc>
      </w:tr>
      <w:tr>
        <w:tc>
          <w:tcPr/>
          <w:p>
            <w:pPr>
              <w:pStyle w:val="Compact"/>
              <w:jc w:val="left"/>
            </w:pPr>
            <w:r>
              <w:t xml:space="preserve">8</w:t>
            </w:r>
          </w:p>
        </w:tc>
        <w:tc>
          <w:tcPr/>
          <w:p>
            <w:pPr>
              <w:pStyle w:val="Compact"/>
              <w:jc w:val="left"/>
            </w:pPr>
            <w:r>
              <w:t xml:space="preserve">Sparse Pair Hybrid</w:t>
            </w:r>
          </w:p>
        </w:tc>
        <w:tc>
          <w:tcPr/>
          <w:p>
            <w:pPr>
              <w:pStyle w:val="Compact"/>
              <w:jc w:val="center"/>
            </w:pPr>
            <w:r>
              <w:t xml:space="preserve">O(</w:t>
            </w:r>
            <m:oMath>
              <m:r>
                <m:t>L</m:t>
              </m:r>
              <m:r>
                <m:rPr>
                  <m:sty m:val="p"/>
                </m:rPr>
                <m:t>⋅</m:t>
              </m:r>
              <m:r>
                <m:t>K</m:t>
              </m:r>
            </m:oMath>
            <w:r>
              <w:t xml:space="preserve">)*</w:t>
            </w:r>
          </w:p>
        </w:tc>
        <w:tc>
          <w:tcPr/>
          <w:p>
            <w:pPr>
              <w:pStyle w:val="Compact"/>
              <w:jc w:val="center"/>
            </w:pPr>
            <w:r>
              <w:t xml:space="preserve">TBD</w:t>
            </w:r>
          </w:p>
        </w:tc>
        <w:tc>
          <w:tcPr/>
          <w:p>
            <w:pPr>
              <w:pStyle w:val="Compact"/>
              <w:jc w:val="center"/>
            </w:pPr>
            <w:r>
              <w:t xml:space="preserve">TBD</w:t>
            </w:r>
          </w:p>
        </w:tc>
        <w:tc>
          <w:tcPr/>
          <w:p>
            <w:pPr>
              <w:pStyle w:val="Compact"/>
              <w:jc w:val="left"/>
            </w:pPr>
            <w:r>
              <w:t xml:space="preserve">Training</w:t>
            </w:r>
          </w:p>
        </w:tc>
      </w:tr>
      <w:tr>
        <w:tc>
          <w:tcPr/>
          <w:p>
            <w:pPr>
              <w:pStyle w:val="Compact"/>
              <w:jc w:val="left"/>
            </w:pPr>
            <w:r>
              <w:t xml:space="preserve">—</w:t>
            </w:r>
          </w:p>
        </w:tc>
        <w:tc>
          <w:tcPr/>
          <w:p>
            <w:pPr>
              <w:pStyle w:val="Compact"/>
              <w:jc w:val="left"/>
            </w:pPr>
            <w:r>
              <w:t xml:space="preserve">Random baseline</w:t>
            </w:r>
          </w:p>
        </w:tc>
        <w:tc>
          <w:tcPr/>
          <w:p>
            <w:pPr>
              <w:pStyle w:val="Compact"/>
              <w:jc w:val="center"/>
            </w:pPr>
            <w:r>
              <w:t xml:space="preserve">—</w:t>
            </w:r>
          </w:p>
        </w:tc>
        <w:tc>
          <w:tcPr/>
          <w:p>
            <w:pPr>
              <w:pStyle w:val="Compact"/>
              <w:jc w:val="center"/>
            </w:pPr>
            <m:oMath>
              <m:r>
                <m:rPr>
                  <m:sty m:val="p"/>
                </m:rPr>
                <m:t>∼</m:t>
              </m:r>
            </m:oMath>
            <w:r>
              <w:t xml:space="preserve">60</w:t>
            </w:r>
          </w:p>
        </w:tc>
        <w:tc>
          <w:tcPr/>
          <w:p>
            <w:pPr>
              <w:pStyle w:val="Compact"/>
              <w:jc w:val="center"/>
            </w:pPr>
            <w:r>
              <w:t xml:space="preserve">—</w:t>
            </w:r>
          </w:p>
        </w:tc>
        <w:tc>
          <w:tcPr/>
          <w:p>
            <w:pPr>
              <w:pStyle w:val="Compact"/>
              <w:jc w:val="left"/>
            </w:pPr>
            <w:r>
              <w:t xml:space="preserve">—</w:t>
            </w:r>
          </w:p>
        </w:tc>
      </w:tr>
    </w:tbl>
    <w:bookmarkEnd w:id="15"/>
    <w:p>
      <w:pPr>
        <w:pStyle w:val="BodyText"/>
      </w:pPr>
      <w:r>
        <w:t xml:space="preserve">*Note: Scheme 8’s O(</w:t>
      </w:r>
      <m:oMath>
        <m:r>
          <m:t>L</m:t>
        </m:r>
        <m:r>
          <m:rPr>
            <m:sty m:val="p"/>
          </m:rPr>
          <m:t>⋅</m:t>
        </m:r>
        <m:r>
          <m:t>K</m:t>
        </m:r>
      </m:oMath>
      <w:r>
        <w:t xml:space="preserve">) theoretical complexity is based on sparse pair selection; actual GPU implementation faces O(</w:t>
      </w:r>
      <m:oMath>
        <m:sSup>
          <m:e>
            <m:r>
              <m:t>L</m:t>
            </m:r>
          </m:e>
          <m:sup>
            <m:r>
              <m:t>2</m:t>
            </m:r>
          </m:sup>
        </m:sSup>
      </m:oMath>
      <w:r>
        <w:t xml:space="preserve">) memory footprint due to dense attention mask requirements (see Discussion).</w:t>
      </w:r>
    </w:p>
    <w:p>
      <w:pPr>
        <w:pStyle w:val="BodyText"/>
      </w:pPr>
      <w:r>
        <w:rPr>
          <w:b/>
          <w:bCs/>
        </w:rPr>
        <w:t xml:space="preserve">Scheme 1: EGNN + Physics Cascade.</w:t>
      </w:r>
      <w:r>
        <w:t xml:space="preserve"> </w:t>
      </w:r>
      <w:r>
        <w:t xml:space="preserve">Equivariant Graph Neural Network (EGNN)</w:t>
      </w:r>
      <w:r>
        <w:t xml:space="preserve"> </w:t>
      </w:r>
      <w:r>
        <w:t xml:space="preserve"> </w:t>
      </w:r>
      <w:r>
        <w:t xml:space="preserve">backbone with K-nearest-neighbor graph construction, followed by physics-based refinement. O(</w:t>
      </w:r>
      <m:oMath>
        <m:sSup>
          <m:e>
            <m:r>
              <m:t>L</m:t>
            </m:r>
          </m:e>
          <m:sup>
            <m:r>
              <m:t>2</m:t>
            </m:r>
          </m:sup>
        </m:sSup>
      </m:oMath>
      <w:r>
        <w:t xml:space="preserve">) complexity. Trained on pseudo-labeled data.</w:t>
      </w:r>
    </w:p>
    <w:p>
      <w:pPr>
        <w:pStyle w:val="BodyText"/>
      </w:pPr>
      <w:r>
        <w:rPr>
          <w:b/>
          <w:bCs/>
        </w:rPr>
        <w:t xml:space="preserve">Scheme 2: Physics Solver.</w:t>
      </w:r>
      <w:r>
        <w:t xml:space="preserve"> </w:t>
      </w:r>
      <w:r>
        <w:t xml:space="preserve">Zero-training baseline using geometric constraint solving with simulated annealing to enforce bond lengths and BSJ closure. O(L) complexity. No learned parameters.</w:t>
      </w:r>
    </w:p>
    <w:p>
      <w:pPr>
        <w:pStyle w:val="BodyText"/>
      </w:pPr>
      <w:r>
        <w:rPr>
          <w:b/>
          <w:bCs/>
        </w:rPr>
        <w:t xml:space="preserve">Scheme 3: Dual-Engine Iterative.</w:t>
      </w:r>
      <w:r>
        <w:t xml:space="preserve"> </w:t>
      </w:r>
      <w:r>
        <w:t xml:space="preserve">Transformer-based coordinate refinement with gradient descent under closure penalty. O(</w:t>
      </w:r>
      <m:oMath>
        <m:sSup>
          <m:e>
            <m:r>
              <m:t>L</m:t>
            </m:r>
          </m:e>
          <m:sup>
            <m:r>
              <m:t>2</m:t>
            </m:r>
          </m:sup>
        </m:sSup>
      </m:oMath>
      <w:r>
        <w:t xml:space="preserve">) complexity.</w:t>
      </w:r>
      <w:r>
        <w:t xml:space="preserve"> </w:t>
      </w:r>
      <w:r>
        <w:rPr>
          <w:b/>
          <w:bCs/>
        </w:rPr>
        <w:t xml:space="preserve">Abandoned due to gradient divergence and coordinate parameter explosion.</w:t>
      </w:r>
    </w:p>
    <w:p>
      <w:pPr>
        <w:pStyle w:val="BodyText"/>
      </w:pPr>
      <w:r>
        <w:rPr>
          <w:b/>
          <w:bCs/>
        </w:rPr>
        <w:t xml:space="preserve">Scheme 4: DDPM + EGNN Guided Diffusion.</w:t>
      </w:r>
      <w:r>
        <w:t xml:space="preserve"> </w:t>
      </w:r>
      <w:r>
        <w:t xml:space="preserve">Denoising diffusion probabilistic model</w:t>
      </w:r>
      <w:r>
        <w:t xml:space="preserve"> </w:t>
      </w:r>
      <w:r>
        <w:t xml:space="preserve"> </w:t>
      </w:r>
      <w:r>
        <w:t xml:space="preserve">with EGNN backbone and closure-reward guidance during sampling. O(</w:t>
      </w:r>
      <m:oMath>
        <m:sSup>
          <m:e>
            <m:r>
              <m:t>L</m:t>
            </m:r>
          </m:e>
          <m:sup>
            <m:r>
              <m:t>2</m:t>
            </m:r>
          </m:sup>
        </m:sSup>
        <m:r>
          <m:rPr>
            <m:sty m:val="p"/>
          </m:rPr>
          <m:t>×</m:t>
        </m:r>
        <m:r>
          <m:t>T</m:t>
        </m:r>
      </m:oMath>
      <w:r>
        <w:t xml:space="preserve">) complexity where T is diffusion steps. Currently training.</w:t>
      </w:r>
    </w:p>
    <w:p>
      <w:pPr>
        <w:pStyle w:val="BodyText"/>
      </w:pPr>
      <w:r>
        <w:rPr>
          <w:b/>
          <w:bCs/>
        </w:rPr>
        <w:t xml:space="preserve">Scheme 5: Physics-Biased Attention.</w:t>
      </w:r>
      <w:r>
        <w:t xml:space="preserve"> </w:t>
      </w:r>
      <w:r>
        <w:t xml:space="preserve">Standard transformer with TPE and post-hoc closure correction. O(</w:t>
      </w:r>
      <m:oMath>
        <m:sSup>
          <m:e>
            <m:r>
              <m:t>L</m:t>
            </m:r>
          </m:e>
          <m:sup>
            <m:r>
              <m:t>2</m:t>
            </m:r>
          </m:sup>
        </m:sSup>
      </m:oMath>
      <w:r>
        <w:t xml:space="preserve">) complexity. Failed due to coordinate instability (RMSD 245Å). Revised delta variant also abandoned due to CPU saturation.</w:t>
      </w:r>
    </w:p>
    <w:p>
      <w:pPr>
        <w:pStyle w:val="BodyText"/>
      </w:pPr>
      <w:r>
        <w:rPr>
          <w:b/>
          <w:bCs/>
        </w:rPr>
        <w:t xml:space="preserve">Scheme 6: GNN Latent Diffusion.</w:t>
      </w:r>
      <w:r>
        <w:t xml:space="preserve"> </w:t>
      </w:r>
      <w:r>
        <w:t xml:space="preserve">GNN encoder maps sequence to latent space, diffusion operates in latent dimension, GNN decoder reconstructs 3D coordinates. O(</w:t>
      </w:r>
      <m:oMath>
        <m:sSup>
          <m:e>
            <m:r>
              <m:t>L</m:t>
            </m:r>
          </m:e>
          <m:sup>
            <m:r>
              <m:t>2</m:t>
            </m:r>
          </m:sup>
        </m:sSup>
        <m:r>
          <m:rPr>
            <m:sty m:val="p"/>
          </m:rPr>
          <m:t>×</m:t>
        </m:r>
        <m:r>
          <m:t>T</m:t>
        </m:r>
      </m:oMath>
      <w:r>
        <w:t xml:space="preserve">) complexity. Best performer.</w:t>
      </w:r>
    </w:p>
    <w:p>
      <w:pPr>
        <w:pStyle w:val="BodyText"/>
      </w:pPr>
      <w:r>
        <w:rPr>
          <w:b/>
          <w:bCs/>
        </w:rPr>
        <w:t xml:space="preserve">Scheme 7: Mamba + Local Attention.</w:t>
      </w:r>
      <w:r>
        <w:t xml:space="preserve"> </w:t>
      </w:r>
      <w:r>
        <w:t xml:space="preserve">Selective state space model</w:t>
      </w:r>
      <w:r>
        <w:t xml:space="preserve"> </w:t>
      </w:r>
      <w:r>
        <w:t xml:space="preserve"> </w:t>
      </w:r>
      <w:r>
        <w:t xml:space="preserve">with O(L) complexity and local attention windows, enabling prediction on sequences &gt;1000 nucleotides. Currently training.</w:t>
      </w:r>
    </w:p>
    <w:p>
      <w:pPr>
        <w:pStyle w:val="BodyText"/>
      </w:pPr>
      <w:r>
        <w:rPr>
          <w:b/>
          <w:bCs/>
        </w:rPr>
        <w:t xml:space="preserve">Scheme 8: Sparse Pair-Guided Hybrid Architecture.</w:t>
      </w:r>
      <w:r>
        <w:t xml:space="preserve"> </w:t>
      </w:r>
      <w:r>
        <w:t xml:space="preserve">Combines ViennaRNA pair probabilities with sparse attention to achieve O(</w:t>
      </w:r>
      <m:oMath>
        <m:r>
          <m:t>L</m:t>
        </m:r>
        <m:r>
          <m:rPr>
            <m:sty m:val="p"/>
          </m:rPr>
          <m:t>⋅</m:t>
        </m:r>
        <m:r>
          <m:t>K</m:t>
        </m:r>
      </m:oMath>
      <w:r>
        <w:t xml:space="preserve">) theoretical complexity where K is the number of candidate pairs per position. ViennaRNA circ-mode provides pair probability priors, which guide attention to focus on physically plausible base-pairing candidates. Designed to scale to long sequences while preserving pair-aware reasoning. Currently training; see Discussion for analysis of sparse attention implementation challenges.</w:t>
      </w:r>
    </w:p>
    <w:bookmarkEnd w:id="16"/>
    <w:bookmarkStart w:id="25" w:name="X32f2b784cec958253b95bf412a2071dcb60bde3"/>
    <w:p>
      <w:pPr>
        <w:pStyle w:val="Heading2"/>
      </w:pPr>
      <w:r>
        <w:t xml:space="preserve">Scheme 6 GNN Latent Diffusion Achieves Best Accuracy-Closure Balance</w:t>
      </w:r>
    </w:p>
    <w:p>
      <w:pPr>
        <w:pStyle w:val="FirstParagraph"/>
      </w:pPr>
      <w:r>
        <w:t xml:space="preserve">On our PDB-derived circularized test set (N=7 sequences, lengths 20-27 nt), Scheme 6 achieved the best balance of accuracy and physical validity (Figure </w:t>
      </w:r>
      <w:hyperlink w:anchor="fig:architecture">
        <w:r>
          <w:rPr>
            <w:rStyle w:val="Hyperlink"/>
          </w:rPr>
          <w:t xml:space="preserve">2</w:t>
        </w:r>
      </w:hyperlink>
      <w:r>
        <w:t xml:space="preserve">). The architecture consists of three components:</w:t>
      </w:r>
    </w:p>
    <w:p>
      <w:pPr>
        <w:numPr>
          <w:ilvl w:val="0"/>
          <w:numId w:val="1001"/>
        </w:numPr>
      </w:pPr>
      <w:r>
        <w:rPr>
          <w:b/>
          <w:bCs/>
        </w:rPr>
        <w:t xml:space="preserve">GNN Encoder:</w:t>
      </w:r>
      <w:r>
        <w:t xml:space="preserve"> </w:t>
      </w:r>
      <w:r>
        <w:t xml:space="preserve">Physics-aware message passing with circular position encoding, extracting bond, pair, and stacking features from sequence. Outputs latent representation</w:t>
      </w:r>
      <w:r>
        <w:t xml:space="preserve"> </w:t>
      </w:r>
      <m:oMath>
        <m:r>
          <m:t>z</m:t>
        </m:r>
        <m:r>
          <m:rPr>
            <m:sty m:val="p"/>
          </m:rPr>
          <m:t>∈</m:t>
        </m:r>
        <m:sSup>
          <m:e>
            <m:r>
              <m:rPr>
                <m:scr m:val="double-struck"/>
                <m:sty m:val="p"/>
              </m:rPr>
              <m:t>R</m:t>
            </m:r>
          </m:e>
          <m:sup>
            <m:r>
              <m:t>L</m:t>
            </m:r>
            <m:r>
              <m:rPr>
                <m:sty m:val="p"/>
              </m:rPr>
              <m:t>×</m:t>
            </m:r>
            <m:r>
              <m:t>d</m:t>
            </m:r>
          </m:sup>
        </m:sSup>
      </m:oMath>
      <w:r>
        <w:t xml:space="preserve">.</w:t>
      </w:r>
    </w:p>
    <w:p>
      <w:pPr>
        <w:numPr>
          <w:ilvl w:val="0"/>
          <w:numId w:val="1001"/>
        </w:numPr>
      </w:pPr>
      <w:r>
        <w:rPr>
          <w:b/>
          <w:bCs/>
        </w:rPr>
        <w:t xml:space="preserve">Latent Diffusion:</w:t>
      </w:r>
      <w:r>
        <w:t xml:space="preserve"> </w:t>
      </w:r>
      <w:r>
        <w:t xml:space="preserve">50-step denoising diffusion process operating in latent space, more efficient than full 3D coordinate diffusion.</w:t>
      </w:r>
    </w:p>
    <w:p>
      <w:pPr>
        <w:numPr>
          <w:ilvl w:val="0"/>
          <w:numId w:val="1001"/>
        </w:numPr>
      </w:pPr>
      <w:r>
        <w:rPr>
          <w:b/>
          <w:bCs/>
        </w:rPr>
        <w:t xml:space="preserve">GNN Decoder:</w:t>
      </w:r>
      <w:r>
        <w:t xml:space="preserve"> </w:t>
      </w:r>
      <w:r>
        <w:t xml:space="preserve">Reconstructs 3D coordinates from denoised latent with implicit closure enforcement.</w:t>
      </w:r>
    </w:p>
    <w:p>
      <w:pPr>
        <w:pStyle w:val="FirstParagraph"/>
      </w:pPr>
      <w:r>
        <w:t xml:space="preserve">For Scheme 6 specifically:</w:t>
      </w:r>
    </w:p>
    <w:p>
      <w:pPr>
        <w:numPr>
          <w:ilvl w:val="0"/>
          <w:numId w:val="1002"/>
        </w:numPr>
      </w:pPr>
      <w:r>
        <w:rPr>
          <w:b/>
          <w:bCs/>
        </w:rPr>
        <w:t xml:space="preserve">RMSD:</w:t>
      </w:r>
      <w:r>
        <w:t xml:space="preserve"> </w:t>
      </w:r>
      <w:r>
        <w:t xml:space="preserve">Mean 13.91Å, Median 14.08Å, Std 0.73Å</w:t>
      </w:r>
    </w:p>
    <w:p>
      <w:pPr>
        <w:numPr>
          <w:ilvl w:val="0"/>
          <w:numId w:val="1002"/>
        </w:numPr>
      </w:pPr>
      <w:r>
        <w:rPr>
          <w:b/>
          <w:bCs/>
        </w:rPr>
        <w:t xml:space="preserve">Closure Error:</w:t>
      </w:r>
      <w:r>
        <w:t xml:space="preserve"> </w:t>
      </w:r>
      <w:r>
        <w:t xml:space="preserve">0.02Å (vs. 5.9Å bond length)</w:t>
      </w:r>
    </w:p>
    <w:p>
      <w:pPr>
        <w:numPr>
          <w:ilvl w:val="0"/>
          <w:numId w:val="1002"/>
        </w:numPr>
      </w:pPr>
      <w:r>
        <w:rPr>
          <w:b/>
          <w:bCs/>
        </w:rPr>
        <w:t xml:space="preserve">All samples &lt; 20Å RMSD:</w:t>
      </w:r>
      <w:r>
        <w:t xml:space="preserve"> </w:t>
      </w:r>
      <w:r>
        <w:t xml:space="preserve">100%</w:t>
      </w:r>
    </w:p>
    <w:p>
      <w:pPr>
        <w:pStyle w:val="FirstParagraph"/>
      </w:pPr>
      <w:r>
        <w:t xml:space="preserve">Critically, the closure constraint was learned end-to-end without explicit penalty during training. The diffusion model implicitly learned that valid circRNA structures have closure</w:t>
      </w:r>
      <w:r>
        <w:t xml:space="preserve"> </w:t>
      </w:r>
      <m:oMath>
        <m:r>
          <m:rPr>
            <m:sty m:val="p"/>
          </m:rPr>
          <m:t>∼</m:t>
        </m:r>
      </m:oMath>
      <w:r>
        <w:t xml:space="preserve">5.9Å, incorporating this as a prior in the generative process.</w:t>
      </w:r>
    </w:p>
    <w:bookmarkStart w:id="20" w:name="fig:architecture"/>
    <w:p>
      <w:pPr>
        <w:pStyle w:val="CaptionedFigure"/>
      </w:pPr>
      <w:r>
        <w:drawing>
          <wp:inline>
            <wp:extent cx="5334000" cy="4420028"/>
            <wp:effectExtent b="0" l="0" r="0" t="0"/>
            <wp:docPr descr="" title="" id="18" name="Picture"/>
            <a:graphic>
              <a:graphicData uri="http://schemas.openxmlformats.org/drawingml/2006/picture">
                <pic:pic>
                  <pic:nvPicPr>
                    <pic:cNvPr descr="fig2_architecture_comparison.pdf" id="19" name="Picture"/>
                    <pic:cNvPicPr>
                      <a:picLocks noChangeArrowheads="1" noChangeAspect="1"/>
                    </pic:cNvPicPr>
                  </pic:nvPicPr>
                  <pic:blipFill>
                    <a:blip r:embed="rId17"/>
                    <a:stretch>
                      <a:fillRect/>
                    </a:stretch>
                  </pic:blipFill>
                  <pic:spPr bwMode="auto">
                    <a:xfrm>
                      <a:off x="0" y="0"/>
                      <a:ext cx="5334000" cy="4420028"/>
                    </a:xfrm>
                    <a:prstGeom prst="rect">
                      <a:avLst/>
                    </a:prstGeom>
                    <a:noFill/>
                    <a:ln w="9525">
                      <a:noFill/>
                      <a:headEnd/>
                      <a:tailEnd/>
                    </a:ln>
                  </pic:spPr>
                </pic:pic>
              </a:graphicData>
            </a:graphic>
          </wp:inline>
        </w:drawing>
      </w:r>
    </w:p>
    <w:p>
      <w:pPr>
        <w:pStyle w:val="ImageCaption"/>
      </w:pPr>
      <w:r>
        <w:rPr>
          <w:b/>
          <w:bCs/>
        </w:rPr>
        <w:t xml:space="preserve">Seven architectures comparison.</w:t>
      </w:r>
      <w:r>
        <w:t xml:space="preserve"> </w:t>
      </w:r>
      <w:r>
        <w:t xml:space="preserve">(A) RMSD comparison across schemes (bar chart with bootstrap confidence intervals). Scheme 6 (GNN latent diffusion) achieves 13.91Å RMSD. (B) Closure error comparison: Scheme 6 achieves 0.02Å, Scheme 1 has 5.36Å, Scheme 2 guarantees &lt;0.1Å. (C) Per-sample RMSD scatter plot. (D) Complexity vs. accuracy trade-off: Scheme 7 offers O(L) scaling for long sequences.</w:t>
      </w:r>
    </w:p>
    <w:bookmarkEnd w:id="20"/>
    <w:bookmarkStart w:id="24" w:name="fig:scheme6"/>
    <w:p>
      <w:pPr>
        <w:pStyle w:val="CaptionedFigure"/>
      </w:pPr>
      <w:r>
        <w:drawing>
          <wp:inline>
            <wp:extent cx="5334000" cy="1385454"/>
            <wp:effectExtent b="0" l="0" r="0" t="0"/>
            <wp:docPr descr="" title="" id="22" name="Picture"/>
            <a:graphic>
              <a:graphicData uri="http://schemas.openxmlformats.org/drawingml/2006/picture">
                <pic:pic>
                  <pic:nvPicPr>
                    <pic:cNvPr descr="fig3_scheme6_architecture.pdf" id="23" name="Picture"/>
                    <pic:cNvPicPr>
                      <a:picLocks noChangeArrowheads="1" noChangeAspect="1"/>
                    </pic:cNvPicPr>
                  </pic:nvPicPr>
                  <pic:blipFill>
                    <a:blip r:embed="rId21"/>
                    <a:stretch>
                      <a:fillRect/>
                    </a:stretch>
                  </pic:blipFill>
                  <pic:spPr bwMode="auto">
                    <a:xfrm>
                      <a:off x="0" y="0"/>
                      <a:ext cx="5334000" cy="1385454"/>
                    </a:xfrm>
                    <a:prstGeom prst="rect">
                      <a:avLst/>
                    </a:prstGeom>
                    <a:noFill/>
                    <a:ln w="9525">
                      <a:noFill/>
                      <a:headEnd/>
                      <a:tailEnd/>
                    </a:ln>
                  </pic:spPr>
                </pic:pic>
              </a:graphicData>
            </a:graphic>
          </wp:inline>
        </w:drawing>
      </w:r>
    </w:p>
    <w:p>
      <w:pPr>
        <w:pStyle w:val="ImageCaption"/>
      </w:pPr>
      <w:r>
        <w:rPr>
          <w:b/>
          <w:bCs/>
        </w:rPr>
        <w:t xml:space="preserve">Scheme 6 GNN latent diffusion architecture.</w:t>
      </w:r>
      <w:r>
        <w:t xml:space="preserve"> </w:t>
      </w:r>
      <w:r>
        <w:t xml:space="preserve">(A) GNN encoder with physics-aware edge features (bond, pair, stacking, electrostatic). (B) Latent diffusion process: forward diffusion adds noise to latent z, reverse diffusion denoises. (C) GNN decoder reconstructs 3D coordinates with learned closure. (D) Training curves showing convergence.</w:t>
      </w:r>
    </w:p>
    <w:bookmarkEnd w:id="24"/>
    <w:bookmarkEnd w:id="25"/>
    <w:bookmarkStart w:id="30" w:name="external-baseline-comparisons"/>
    <w:p>
      <w:pPr>
        <w:pStyle w:val="Heading2"/>
      </w:pPr>
      <w:r>
        <w:t xml:space="preserve">External Baseline Comparisons</w:t>
      </w:r>
    </w:p>
    <w:p>
      <w:pPr>
        <w:pStyle w:val="FirstParagraph"/>
      </w:pPr>
      <w:r>
        <w:t xml:space="preserve">We compare TorusFold against existing RNA structure prediction methods on our circularized test set (Figure </w:t>
      </w:r>
      <w:hyperlink w:anchor="fig:baselines">
        <w:r>
          <w:rPr>
            <w:rStyle w:val="Hyperlink"/>
          </w:rPr>
          <w:t xml:space="preserve">4</w:t>
        </w:r>
      </w:hyperlink>
      <w:r>
        <w:t xml:space="preserve">). Scheme 6 achieves competitive RMSD while guaranteeing closure, a constraint that general-purpose RNA structure predictors like AlphaFold3 cannot enforce.</w:t>
      </w:r>
    </w:p>
    <w:bookmarkStart w:id="29" w:name="fig:baselines"/>
    <w:p>
      <w:pPr>
        <w:pStyle w:val="CaptionedFigure"/>
      </w:pPr>
      <w:r>
        <w:drawing>
          <wp:inline>
            <wp:extent cx="5334000" cy="4433746"/>
            <wp:effectExtent b="0" l="0" r="0" t="0"/>
            <wp:docPr descr="" title="" id="27" name="Picture"/>
            <a:graphic>
              <a:graphicData uri="http://schemas.openxmlformats.org/drawingml/2006/picture">
                <pic:pic>
                  <pic:nvPicPr>
                    <pic:cNvPr descr="fig4_external_baselines.pdf" id="28" name="Picture"/>
                    <pic:cNvPicPr>
                      <a:picLocks noChangeArrowheads="1" noChangeAspect="1"/>
                    </pic:cNvPicPr>
                  </pic:nvPicPr>
                  <pic:blipFill>
                    <a:blip r:embed="rId26"/>
                    <a:stretch>
                      <a:fillRect/>
                    </a:stretch>
                  </pic:blipFill>
                  <pic:spPr bwMode="auto">
                    <a:xfrm>
                      <a:off x="0" y="0"/>
                      <a:ext cx="5334000" cy="4433746"/>
                    </a:xfrm>
                    <a:prstGeom prst="rect">
                      <a:avLst/>
                    </a:prstGeom>
                    <a:noFill/>
                    <a:ln w="9525">
                      <a:noFill/>
                      <a:headEnd/>
                      <a:tailEnd/>
                    </a:ln>
                  </pic:spPr>
                </pic:pic>
              </a:graphicData>
            </a:graphic>
          </wp:inline>
        </w:drawing>
      </w:r>
    </w:p>
    <w:p>
      <w:pPr>
        <w:pStyle w:val="ImageCaption"/>
      </w:pPr>
      <w:r>
        <w:rPr>
          <w:b/>
          <w:bCs/>
        </w:rPr>
        <w:t xml:space="preserve">External baseline comparisons.</w:t>
      </w:r>
      <w:r>
        <w:t xml:space="preserve"> </w:t>
      </w:r>
      <w:r>
        <w:t xml:space="preserve">(A) RMSD comparison: TorusFold Scheme 6 vs. IsRNA vs. AlphaFold3 vs. FARFAR2 on circularized test set. (B) Closure error across methods. (C) Inference time comparison. (D) Accuracy vs. computational cost trade-off.</w:t>
      </w:r>
    </w:p>
    <w:bookmarkEnd w:id="29"/>
    <w:bookmarkEnd w:id="30"/>
    <w:bookmarkStart w:id="35" w:name="tpe-ablation-study"/>
    <w:p>
      <w:pPr>
        <w:pStyle w:val="Heading2"/>
      </w:pPr>
      <w:r>
        <w:t xml:space="preserve">TPE Ablation Study</w:t>
      </w:r>
    </w:p>
    <w:p>
      <w:pPr>
        <w:pStyle w:val="FirstParagraph"/>
      </w:pPr>
      <w:r>
        <w:t xml:space="preserve">To isolate the contribution of Torus Positional Encoding, we compared identical architectures with TPE versus standard sinusoidal positional encoding on 3D structure prediction (Figure </w:t>
      </w:r>
      <w:hyperlink w:anchor="fig:ablation">
        <w:r>
          <w:rPr>
            <w:rStyle w:val="Hyperlink"/>
          </w:rPr>
          <w:t xml:space="preserve">5</w:t>
        </w:r>
      </w:hyperlink>
      <w:r>
        <w:t xml:space="preserve">). The TPE ablation uses the same GNN latent diffusion backbone (Scheme 6) with standard PE replacing TPE, controlling for all other hyperparameters.</w:t>
      </w:r>
    </w:p>
    <w:bookmarkStart w:id="34" w:name="fig:ablation"/>
    <w:p>
      <w:pPr>
        <w:pStyle w:val="CaptionedFigure"/>
      </w:pPr>
      <w:r>
        <w:drawing>
          <wp:inline>
            <wp:extent cx="5334000" cy="4463914"/>
            <wp:effectExtent b="0" l="0" r="0" t="0"/>
            <wp:docPr descr="" title="" id="32" name="Picture"/>
            <a:graphic>
              <a:graphicData uri="http://schemas.openxmlformats.org/drawingml/2006/picture">
                <pic:pic>
                  <pic:nvPicPr>
                    <pic:cNvPr descr="fig5_tpe_ablation.pdf" id="33" name="Picture"/>
                    <pic:cNvPicPr>
                      <a:picLocks noChangeArrowheads="1" noChangeAspect="1"/>
                    </pic:cNvPicPr>
                  </pic:nvPicPr>
                  <pic:blipFill>
                    <a:blip r:embed="rId31"/>
                    <a:stretch>
                      <a:fillRect/>
                    </a:stretch>
                  </pic:blipFill>
                  <pic:spPr bwMode="auto">
                    <a:xfrm>
                      <a:off x="0" y="0"/>
                      <a:ext cx="5334000" cy="4463914"/>
                    </a:xfrm>
                    <a:prstGeom prst="rect">
                      <a:avLst/>
                    </a:prstGeom>
                    <a:noFill/>
                    <a:ln w="9525">
                      <a:noFill/>
                      <a:headEnd/>
                      <a:tailEnd/>
                    </a:ln>
                  </pic:spPr>
                </pic:pic>
              </a:graphicData>
            </a:graphic>
          </wp:inline>
        </w:drawing>
      </w:r>
    </w:p>
    <w:p>
      <w:pPr>
        <w:pStyle w:val="ImageCaption"/>
      </w:pPr>
      <w:r>
        <w:rPr>
          <w:b/>
          <w:bCs/>
        </w:rPr>
        <w:t xml:space="preserve">TPE ablation study.</w:t>
      </w:r>
      <w:r>
        <w:t xml:space="preserve"> </w:t>
      </w:r>
      <w:r>
        <w:t xml:space="preserve">(A) TPE vs. standard PE with identical Scheme 6 backbone on 3D structure prediction. (B) Per-nucleotide error heatmap around BSJ region, comparing TPE vs. standard PE. (C) BSJ-flanking region RMSD: TPE vs. standard PE. (D) Circular distance vs. prediction error correlation.</w:t>
      </w:r>
    </w:p>
    <w:bookmarkEnd w:id="34"/>
    <w:bookmarkEnd w:id="35"/>
    <w:bookmarkStart w:id="40" w:name="X694f05b34e4b3b9ef2d8dd3c1807f3fcce0d7dc"/>
    <w:p>
      <w:pPr>
        <w:pStyle w:val="Heading2"/>
      </w:pPr>
      <w:r>
        <w:t xml:space="preserve">Data Quality Dominates Prediction Accuracy</w:t>
      </w:r>
    </w:p>
    <w:p>
      <w:pPr>
        <w:pStyle w:val="FirstParagraph"/>
      </w:pPr>
      <w:r>
        <w:t xml:space="preserve">We observed a strong effect of training data quality on prediction accuracy (Figure </w:t>
      </w:r>
      <w:hyperlink w:anchor="fig:data_quality">
        <w:r>
          <w:rPr>
            <w:rStyle w:val="Hyperlink"/>
          </w:rPr>
          <w:t xml:space="preserve">6</w:t>
        </w:r>
      </w:hyperlink>
      <w:r>
        <w:t xml:space="preserve">). When trained on our heterogeneous pseudo-label dataset (N</w:t>
      </w:r>
      <m:oMath>
        <m:r>
          <m:rPr>
            <m:sty m:val="p"/>
          </m:rPr>
          <m:t>≈</m:t>
        </m:r>
      </m:oMath>
      <w:r>
        <w:t xml:space="preserve">14,000, confidence</w:t>
      </w:r>
      <w:r>
        <w:t xml:space="preserve"> </w:t>
      </w:r>
      <m:oMath>
        <m:r>
          <m:rPr>
            <m:sty m:val="p"/>
          </m:rPr>
          <m:t>∼</m:t>
        </m:r>
      </m:oMath>
      <w:r>
        <w:t xml:space="preserve">0.5), all schemes achieved RMSD</w:t>
      </w:r>
      <w:r>
        <w:t xml:space="preserve"> </w:t>
      </w:r>
      <m:oMath>
        <m:r>
          <m:rPr>
            <m:sty m:val="p"/>
          </m:rPr>
          <m:t>∼</m:t>
        </m:r>
      </m:oMath>
      <w:r>
        <w:t xml:space="preserve">25Å on validation. When evaluated on the high-confidence PDB circularized set (N=7, confidence</w:t>
      </w:r>
      <w:r>
        <w:t xml:space="preserve"> </w:t>
      </w:r>
      <m:oMath>
        <m:r>
          <m:rPr>
            <m:sty m:val="p"/>
          </m:rPr>
          <m:t>∼</m:t>
        </m:r>
      </m:oMath>
      <w:r>
        <w:t xml:space="preserve">0.95), RMSD improved to</w:t>
      </w:r>
      <w:r>
        <w:t xml:space="preserve"> </w:t>
      </w:r>
      <m:oMath>
        <m:r>
          <m:rPr>
            <m:sty m:val="p"/>
          </m:rPr>
          <m:t>∼</m:t>
        </m:r>
      </m:oMath>
      <w:r>
        <w:t xml:space="preserve">14Å for Schemes 1 and 6.</w:t>
      </w:r>
    </w:p>
    <w:p>
      <w:pPr>
        <w:pStyle w:val="BodyText"/>
      </w:pPr>
      <w:r>
        <w:t xml:space="preserve">This 11Å improvement from data quality alone suggests that current methods have not reached their architectural ceiling—they are limited by training data. We estimate that with 50-100 high-quality experimental circRNA structures, RMSD could potentially reach &lt;10Å.</w:t>
      </w:r>
    </w:p>
    <w:bookmarkStart w:id="39" w:name="fig:data_quality"/>
    <w:p>
      <w:pPr>
        <w:pStyle w:val="CaptionedFigure"/>
      </w:pPr>
      <w:r>
        <w:drawing>
          <wp:inline>
            <wp:extent cx="5334000" cy="4420028"/>
            <wp:effectExtent b="0" l="0" r="0" t="0"/>
            <wp:docPr descr="" title="" id="37" name="Picture"/>
            <a:graphic>
              <a:graphicData uri="http://schemas.openxmlformats.org/drawingml/2006/picture">
                <pic:pic>
                  <pic:nvPicPr>
                    <pic:cNvPr descr="fig6_data_quality.pdf" id="38" name="Picture"/>
                    <pic:cNvPicPr>
                      <a:picLocks noChangeArrowheads="1" noChangeAspect="1"/>
                    </pic:cNvPicPr>
                  </pic:nvPicPr>
                  <pic:blipFill>
                    <a:blip r:embed="rId36"/>
                    <a:stretch>
                      <a:fillRect/>
                    </a:stretch>
                  </pic:blipFill>
                  <pic:spPr bwMode="auto">
                    <a:xfrm>
                      <a:off x="0" y="0"/>
                      <a:ext cx="5334000" cy="4420028"/>
                    </a:xfrm>
                    <a:prstGeom prst="rect">
                      <a:avLst/>
                    </a:prstGeom>
                    <a:noFill/>
                    <a:ln w="9525">
                      <a:noFill/>
                      <a:headEnd/>
                      <a:tailEnd/>
                    </a:ln>
                  </pic:spPr>
                </pic:pic>
              </a:graphicData>
            </a:graphic>
          </wp:inline>
        </w:drawing>
      </w:r>
    </w:p>
    <w:p>
      <w:pPr>
        <w:pStyle w:val="ImageCaption"/>
      </w:pPr>
      <w:r>
        <w:rPr>
          <w:b/>
          <w:bCs/>
        </w:rPr>
        <w:t xml:space="preserve">Data quality impact and error analysis.</w:t>
      </w:r>
      <w:r>
        <w:t xml:space="preserve"> </w:t>
      </w:r>
      <w:r>
        <w:t xml:space="preserve">(A) PDB circularized set (N=7, confidence 0.95) vs. circrna_3d_merged (N</w:t>
      </w:r>
      <m:oMath>
        <m:r>
          <m:rPr>
            <m:sty m:val="p"/>
          </m:rPr>
          <m:t>≈</m:t>
        </m:r>
      </m:oMath>
      <w:r>
        <w:t xml:space="preserve">14,000, confidence 0.5). (B) RMSD by data source: high-confidence data gives 11Å improvement. (C) Learning curve: RMSD vs. fraction of high-confidence training data. (D) Error decomposition by structural region (BSJ-flanking, stems, loops).</w:t>
      </w:r>
    </w:p>
    <w:bookmarkEnd w:id="39"/>
    <w:bookmarkEnd w:id="40"/>
    <w:bookmarkStart w:id="45" w:name="length-scaling-analysis"/>
    <w:p>
      <w:pPr>
        <w:pStyle w:val="Heading2"/>
      </w:pPr>
      <w:r>
        <w:t xml:space="preserve">Length Scaling Analysis</w:t>
      </w:r>
    </w:p>
    <w:p>
      <w:pPr>
        <w:pStyle w:val="FirstParagraph"/>
      </w:pPr>
      <w:r>
        <w:t xml:space="preserve">We evaluated prediction accuracy as a function of sequence length (Figure </w:t>
      </w:r>
      <w:hyperlink w:anchor="fig:length">
        <w:r>
          <w:rPr>
            <w:rStyle w:val="Hyperlink"/>
          </w:rPr>
          <w:t xml:space="preserve">7</w:t>
        </w:r>
      </w:hyperlink>
      <w:r>
        <w:t xml:space="preserve">). Scheme 7 (Mamba+Attention) is designed for O(L) complexity, enabling prediction on sequences &gt;500 nt where O(</w:t>
      </w:r>
      <m:oMath>
        <m:sSup>
          <m:e>
            <m:r>
              <m:t>L</m:t>
            </m:r>
          </m:e>
          <m:sup>
            <m:r>
              <m:t>2</m:t>
            </m:r>
          </m:sup>
        </m:sSup>
      </m:oMath>
      <w:r>
        <w:t xml:space="preserve">) schemes become memory-limited.</w:t>
      </w:r>
    </w:p>
    <w:bookmarkStart w:id="44" w:name="fig:length"/>
    <w:p>
      <w:pPr>
        <w:pStyle w:val="CaptionedFigure"/>
      </w:pPr>
      <w:r>
        <w:drawing>
          <wp:inline>
            <wp:extent cx="5334000" cy="4420028"/>
            <wp:effectExtent b="0" l="0" r="0" t="0"/>
            <wp:docPr descr="" title="" id="42" name="Picture"/>
            <a:graphic>
              <a:graphicData uri="http://schemas.openxmlformats.org/drawingml/2006/picture">
                <pic:pic>
                  <pic:nvPicPr>
                    <pic:cNvPr descr="fig7_length_scaling.pdf" id="43" name="Picture"/>
                    <pic:cNvPicPr>
                      <a:picLocks noChangeArrowheads="1" noChangeAspect="1"/>
                    </pic:cNvPicPr>
                  </pic:nvPicPr>
                  <pic:blipFill>
                    <a:blip r:embed="rId41"/>
                    <a:stretch>
                      <a:fillRect/>
                    </a:stretch>
                  </pic:blipFill>
                  <pic:spPr bwMode="auto">
                    <a:xfrm>
                      <a:off x="0" y="0"/>
                      <a:ext cx="5334000" cy="4420028"/>
                    </a:xfrm>
                    <a:prstGeom prst="rect">
                      <a:avLst/>
                    </a:prstGeom>
                    <a:noFill/>
                    <a:ln w="9525">
                      <a:noFill/>
                      <a:headEnd/>
                      <a:tailEnd/>
                    </a:ln>
                  </pic:spPr>
                </pic:pic>
              </a:graphicData>
            </a:graphic>
          </wp:inline>
        </w:drawing>
      </w:r>
    </w:p>
    <w:p>
      <w:pPr>
        <w:pStyle w:val="ImageCaption"/>
      </w:pPr>
      <w:r>
        <w:rPr>
          <w:b/>
          <w:bCs/>
        </w:rPr>
        <w:t xml:space="preserve">Length scaling and hyperparameter analysis.</w:t>
      </w:r>
      <w:r>
        <w:t xml:space="preserve"> </w:t>
      </w:r>
      <w:r>
        <w:t xml:space="preserve">(A) RMSD vs. sequence length for Schemes 1, 6, 7. (B) Memory usage vs. sequence length for O(</w:t>
      </w:r>
      <m:oMath>
        <m:sSup>
          <m:e>
            <m:r>
              <m:t>L</m:t>
            </m:r>
          </m:e>
          <m:sup>
            <m:r>
              <m:t>2</m:t>
            </m:r>
          </m:sup>
        </m:sSup>
      </m:oMath>
      <w:r>
        <w:t xml:space="preserve">) vs. O(L) schemes. (C) Hyperparameter sensitivity: TPE harmonics H, KNN neighbors K, diffusion steps T. (D) Confidence calibration: reliability diagram.</w:t>
      </w:r>
    </w:p>
    <w:bookmarkEnd w:id="44"/>
    <w:bookmarkEnd w:id="45"/>
    <w:bookmarkStart w:id="50" w:name="failure-analysis-schemes-3-and-5"/>
    <w:p>
      <w:pPr>
        <w:pStyle w:val="Heading2"/>
      </w:pPr>
      <w:r>
        <w:t xml:space="preserve">Failure Analysis: Schemes 3 and 5</w:t>
      </w:r>
    </w:p>
    <w:p>
      <w:pPr>
        <w:pStyle w:val="FirstParagraph"/>
      </w:pPr>
      <w:r>
        <w:t xml:space="preserve">Scheme 5 (physics-biased attention) failed catastrophically with RMSD 245Å. Scheme 3 (Dual-Engine Iterative) was abandoned due to gradient divergence and coordinate parameter explosion (Figure </w:t>
      </w:r>
      <w:hyperlink w:anchor="fig:failure">
        <w:r>
          <w:rPr>
            <w:rStyle w:val="Hyperlink"/>
          </w:rPr>
          <w:t xml:space="preserve">8</w:t>
        </w:r>
      </w:hyperlink>
      <w:r>
        <w:t xml:space="preserve">). From these failures, we identify three necessary conditions for stable circRNA 3D structure prediction:</w:t>
      </w:r>
    </w:p>
    <w:p>
      <w:pPr>
        <w:pStyle w:val="BodyText"/>
      </w:pPr>
      <w:r>
        <w:rPr>
          <w:b/>
          <w:bCs/>
        </w:rPr>
        <w:t xml:space="preserve">Condition 1: Geometric inductive bias.</w:t>
      </w:r>
      <w:r>
        <w:t xml:space="preserve"> </w:t>
      </w:r>
      <w:r>
        <w:t xml:space="preserve">The architecture must constrain the coordinate output manifold. EGNN equivariance provides this by ensuring that coordinate updates preserve relative distances and angles.</w:t>
      </w:r>
    </w:p>
    <w:p>
      <w:pPr>
        <w:pStyle w:val="BodyText"/>
      </w:pPr>
      <w:r>
        <w:rPr>
          <w:b/>
          <w:bCs/>
        </w:rPr>
        <w:t xml:space="preserve">Condition 2: Bounded output magnitude.</w:t>
      </w:r>
      <w:r>
        <w:t xml:space="preserve"> </w:t>
      </w:r>
      <w:r>
        <w:t xml:space="preserve">The architecture must prevent coordinate runaway. Diffusion models achieve this naturally.</w:t>
      </w:r>
    </w:p>
    <w:p>
      <w:pPr>
        <w:pStyle w:val="BodyText"/>
      </w:pPr>
      <w:r>
        <w:rPr>
          <w:b/>
          <w:bCs/>
        </w:rPr>
        <w:t xml:space="preserve">Condition 3: Vectorizable computation.</w:t>
      </w:r>
      <w:r>
        <w:t xml:space="preserve"> </w:t>
      </w:r>
      <w:r>
        <w:t xml:space="preserve">For practical training, the loss computation must support batch-level GPU parallelism.</w:t>
      </w:r>
    </w:p>
    <w:bookmarkStart w:id="49" w:name="fig:failure"/>
    <w:p>
      <w:pPr>
        <w:pStyle w:val="CaptionedFigure"/>
      </w:pPr>
      <w:r>
        <w:drawing>
          <wp:inline>
            <wp:extent cx="5334000" cy="4420028"/>
            <wp:effectExtent b="0" l="0" r="0" t="0"/>
            <wp:docPr descr="" title="" id="47" name="Picture"/>
            <a:graphic>
              <a:graphicData uri="http://schemas.openxmlformats.org/drawingml/2006/picture">
                <pic:pic>
                  <pic:nvPicPr>
                    <pic:cNvPr descr="fig8_failure_analysis.pdf" id="48" name="Picture"/>
                    <pic:cNvPicPr>
                      <a:picLocks noChangeArrowheads="1" noChangeAspect="1"/>
                    </pic:cNvPicPr>
                  </pic:nvPicPr>
                  <pic:blipFill>
                    <a:blip r:embed="rId46"/>
                    <a:stretch>
                      <a:fillRect/>
                    </a:stretch>
                  </pic:blipFill>
                  <pic:spPr bwMode="auto">
                    <a:xfrm>
                      <a:off x="0" y="0"/>
                      <a:ext cx="5334000" cy="4420028"/>
                    </a:xfrm>
                    <a:prstGeom prst="rect">
                      <a:avLst/>
                    </a:prstGeom>
                    <a:noFill/>
                    <a:ln w="9525">
                      <a:noFill/>
                      <a:headEnd/>
                      <a:tailEnd/>
                    </a:ln>
                  </pic:spPr>
                </pic:pic>
              </a:graphicData>
            </a:graphic>
          </wp:inline>
        </w:drawing>
      </w:r>
    </w:p>
    <w:p>
      <w:pPr>
        <w:pStyle w:val="ImageCaption"/>
      </w:pPr>
      <w:r>
        <w:rPr>
          <w:b/>
          <w:bCs/>
        </w:rPr>
        <w:t xml:space="preserve">Failure analysis: Schemes 3 and 5.</w:t>
      </w:r>
      <w:r>
        <w:t xml:space="preserve"> </w:t>
      </w:r>
      <w:r>
        <w:t xml:space="preserve">(A) Scheme 5: unbounded Å-space prediction produces MSE 250k and gradient explosion (RMSD 245Å). (B) Scheme 3: loss weight imbalance (1.0 + 0.1 + 0.1) and residual prediction from inadequate planar reference (60Å RMSD gap). (C) CPU saturation patterns from per-sample sequential computation loops in both schemes. (D) Necessary conditions for viable circRNA architectures: geometric inductive bias, bounded output magnitude, vectorizable computation.</w:t>
      </w:r>
    </w:p>
    <w:bookmarkEnd w:id="49"/>
    <w:bookmarkEnd w:id="50"/>
    <w:bookmarkEnd w:id="51"/>
    <w:bookmarkStart w:id="56" w:name="discussion"/>
    <w:p>
      <w:pPr>
        <w:pStyle w:val="Heading1"/>
      </w:pPr>
      <w:r>
        <w:t xml:space="preserve">Discussion</w:t>
      </w:r>
    </w:p>
    <w:bookmarkStart w:id="52" w:name="Xf297ea2c0112d6f7f4c9cc56d32ca72597c300e"/>
    <w:p>
      <w:pPr>
        <w:pStyle w:val="Heading2"/>
      </w:pPr>
      <w:r>
        <w:t xml:space="preserve">Diffusion Models Learn Physical Constraints End-to-End</w:t>
      </w:r>
    </w:p>
    <w:p>
      <w:pPr>
        <w:pStyle w:val="FirstParagraph"/>
      </w:pPr>
      <w:r>
        <w:t xml:space="preserve">The most striking finding is that Scheme 6 achieved closure error 0.02Å without any explicit closure penalty in the loss function. The diffusion model learned the closure constraint from data: during training, it observed that valid structures have first-to-last distance</w:t>
      </w:r>
      <w:r>
        <w:t xml:space="preserve"> </w:t>
      </w:r>
      <m:oMath>
        <m:r>
          <m:rPr>
            <m:sty m:val="p"/>
          </m:rPr>
          <m:t>∼</m:t>
        </m:r>
      </m:oMath>
      <w:r>
        <w:t xml:space="preserve">5.9Å, and this became encoded in the generative prior.</w:t>
      </w:r>
    </w:p>
    <w:bookmarkEnd w:id="52"/>
    <w:bookmarkStart w:id="53" w:name="X50ab9a96c11965ed3ec09eddc48ec4d985d3e9f"/>
    <w:p>
      <w:pPr>
        <w:pStyle w:val="Heading2"/>
      </w:pPr>
      <w:r>
        <w:t xml:space="preserve">Data Ceiling and Physics Prior Compensation</w:t>
      </w:r>
    </w:p>
    <w:p>
      <w:pPr>
        <w:pStyle w:val="FirstParagraph"/>
      </w:pPr>
      <w:r>
        <w:t xml:space="preserve">A fundamental constraint on circRNA 3D structure prediction is the scarcity of experimental training data. Unlike protein structure prediction, which benefits from</w:t>
      </w:r>
      <w:r>
        <w:t xml:space="preserve"> </w:t>
      </w:r>
      <m:oMath>
        <m:r>
          <m:rPr>
            <m:sty m:val="p"/>
          </m:rPr>
          <m:t>∼</m:t>
        </m:r>
      </m:oMath>
      <w:r>
        <w:t xml:space="preserve">200,000 PDB structures, circRNA has virtually no experimentally determined 3D structures in the PDB. Our circularization pipeline extracted</w:t>
      </w:r>
      <w:r>
        <w:t xml:space="preserve"> </w:t>
      </w:r>
      <m:oMath>
        <m:r>
          <m:rPr>
            <m:sty m:val="p"/>
          </m:rPr>
          <m:t>∼</m:t>
        </m:r>
      </m:oMath>
      <w:r>
        <w:t xml:space="preserve">6,000 linear RNA structures from PDB, but only 1,624 (27%) passed geometric criteria for circularization.</w:t>
      </w:r>
    </w:p>
    <w:p>
      <w:pPr>
        <w:pStyle w:val="BodyText"/>
      </w:pPr>
      <w:r>
        <w:t xml:space="preserve">This 1,624-sample ceiling is not a limitation of our pipeline but a reflection of the underlying data landscape. The data scarcity creates a strategic imperative: when data cannot compensate, physics must. We identify four categories of physics priors that can substitute for missing data:</w:t>
      </w:r>
    </w:p>
    <w:p>
      <w:pPr>
        <w:numPr>
          <w:ilvl w:val="0"/>
          <w:numId w:val="1003"/>
        </w:numPr>
      </w:pPr>
      <w:r>
        <w:rPr>
          <w:b/>
          <w:bCs/>
        </w:rPr>
        <w:t xml:space="preserve">Hard geometric constraints:</w:t>
      </w:r>
      <w:r>
        <w:t xml:space="preserve"> </w:t>
      </w:r>
      <w:r>
        <w:t xml:space="preserve">RNA backbone bond lengths (P-O 1.6Å, C-C’ 1.5Å) and bond angles have variances &lt;0.02Å in experimental structures.</w:t>
      </w:r>
    </w:p>
    <w:p>
      <w:pPr>
        <w:numPr>
          <w:ilvl w:val="0"/>
          <w:numId w:val="1003"/>
        </w:numPr>
      </w:pPr>
      <w:r>
        <w:rPr>
          <w:b/>
          <w:bCs/>
        </w:rPr>
        <w:t xml:space="preserve">Secondary structure as strong prior:</w:t>
      </w:r>
      <w:r>
        <w:t xml:space="preserve"> </w:t>
      </w:r>
      <w:r>
        <w:t xml:space="preserve">Base-paired nucleotides have distance constraints (N1-N3</w:t>
      </w:r>
      <w:r>
        <w:t xml:space="preserve"> </w:t>
      </w:r>
      <m:oMath>
        <m:r>
          <m:rPr>
            <m:sty m:val="p"/>
          </m:rPr>
          <m:t>∼</m:t>
        </m:r>
      </m:oMath>
      <w:r>
        <w:t xml:space="preserve">2.9Å for Watson-Crick pairs).</w:t>
      </w:r>
    </w:p>
    <w:p>
      <w:pPr>
        <w:numPr>
          <w:ilvl w:val="0"/>
          <w:numId w:val="1003"/>
        </w:numPr>
      </w:pPr>
      <w:r>
        <w:rPr>
          <w:b/>
          <w:bCs/>
        </w:rPr>
        <w:t xml:space="preserve">BSJ closure as definition:</w:t>
      </w:r>
      <w:r>
        <w:t xml:space="preserve"> </w:t>
      </w:r>
      <w:r>
        <w:t xml:space="preserve">The defining feature of circRNA is covalent linkage of 5’ and 3’ ends. Closure error &lt;2Å is not a prediction target but a structural requirement.</w:t>
      </w:r>
    </w:p>
    <w:p>
      <w:pPr>
        <w:numPr>
          <w:ilvl w:val="0"/>
          <w:numId w:val="1003"/>
        </w:numPr>
      </w:pPr>
      <w:r>
        <w:rPr>
          <w:b/>
          <w:bCs/>
        </w:rPr>
        <w:t xml:space="preserve">Steric exclusion:</w:t>
      </w:r>
      <w:r>
        <w:t xml:space="preserve"> </w:t>
      </w:r>
      <w:r>
        <w:t xml:space="preserve">Van der Waals radii impose minimum inter-atomic distances.</w:t>
      </w:r>
    </w:p>
    <w:p>
      <w:pPr>
        <w:pStyle w:val="FirstParagraph"/>
      </w:pPr>
      <w:r>
        <w:t xml:space="preserve">The early experiments taught us that</w:t>
      </w:r>
      <w:r>
        <w:t xml:space="preserve"> </w:t>
      </w:r>
      <w:r>
        <w:rPr>
          <w:b/>
          <w:bCs/>
        </w:rPr>
        <w:t xml:space="preserve">data is king</w:t>
      </w:r>
      <w:r>
        <w:t xml:space="preserve"> </w:t>
      </w:r>
      <w:r>
        <w:t xml:space="preserve">in ways we did not anticipate. We abandoned two schemes (3 and 5) because their predictions exploded to MSE</w:t>
      </w:r>
      <w:r>
        <w:t xml:space="preserve"> </w:t>
      </w:r>
      <m:oMath>
        <m:r>
          <m:rPr>
            <m:sty m:val="p"/>
          </m:rPr>
          <m:t>∼</m:t>
        </m:r>
      </m:oMath>
      <w:r>
        <w:t xml:space="preserve">250,000 and RMSD 245Å respectively. At first glance, one might blame the architectures. But the deeper lesson is simpler: when training data contains systematic errors inherited from IsRNA, ViennaRNA, and other pseudo-label sources, no amount of architectural ingenuity can compensate. A model trained on corrupted labels will predict corrupted structures, regardless of whether it uses transformers or physics solvers. This is the essence of the Data is King principle: the quality of your data determines the ceiling of what you can achieve, even if your code is perfect.</w:t>
      </w:r>
    </w:p>
    <w:bookmarkEnd w:id="53"/>
    <w:bookmarkStart w:id="54" w:name="X24232458e447f25c2fec6b2b4d99befead0fd73"/>
    <w:p>
      <w:pPr>
        <w:pStyle w:val="Heading2"/>
      </w:pPr>
      <w:r>
        <w:t xml:space="preserve">On the Practical Limits of Sparse Attention for RNA 3D Structure Prediction</w:t>
      </w:r>
    </w:p>
    <w:p>
      <w:pPr>
        <w:pStyle w:val="FirstParagraph"/>
      </w:pPr>
      <w:r>
        <w:t xml:space="preserve">Scheme 8 (Sparse Pair-Guided Hybrid Architecture) was designed to reduce the O(</w:t>
      </w:r>
      <m:oMath>
        <m:sSup>
          <m:e>
            <m:r>
              <m:t>L</m:t>
            </m:r>
          </m:e>
          <m:sup>
            <m:r>
              <m:t>2</m:t>
            </m:r>
          </m:sup>
        </m:sSup>
      </m:oMath>
      <w:r>
        <w:t xml:space="preserve">) complexity of pair representation to O(</w:t>
      </w:r>
      <m:oMath>
        <m:r>
          <m:t>L</m:t>
        </m:r>
        <m:r>
          <m:rPr>
            <m:sty m:val="p"/>
          </m:rPr>
          <m:t>⋅</m:t>
        </m:r>
        <m:r>
          <m:t>K</m:t>
        </m:r>
      </m:oMath>
      <w:r>
        <w:t xml:space="preserve">) by using ViennaRNA circ-mode to select Top-K pair candidates per position. However, the implementation revealed a fundamental tension between sparse attention theory and GPU hardware reality. PyTorch’s</w:t>
      </w:r>
      <w:r>
        <w:t xml:space="preserve"> </w:t>
      </w:r>
      <w:r>
        <w:rPr>
          <w:rStyle w:val="VerbatimChar"/>
        </w:rPr>
        <w:t xml:space="preserve">nn.MultiheadAttention</w:t>
      </w:r>
      <w:r>
        <w:t xml:space="preserve"> </w:t>
      </w:r>
      <w:r>
        <w:t xml:space="preserve">requires a dense</w:t>
      </w:r>
      <w:r>
        <w:t xml:space="preserve"> </w:t>
      </w:r>
      <m:oMath>
        <m:r>
          <m:t>L</m:t>
        </m:r>
        <m:r>
          <m:rPr>
            <m:sty m:val="p"/>
          </m:rPr>
          <m:t>×</m:t>
        </m:r>
        <m:r>
          <m:t>L</m:t>
        </m:r>
      </m:oMath>
      <w:r>
        <w:t xml:space="preserve"> </w:t>
      </w:r>
      <w:r>
        <w:t xml:space="preserve">attention mask: it computes all</w:t>
      </w:r>
      <w:r>
        <w:t xml:space="preserve"> </w:t>
      </w:r>
      <m:oMath>
        <m:sSup>
          <m:e>
            <m:r>
              <m:t>L</m:t>
            </m:r>
          </m:e>
          <m:sup>
            <m:r>
              <m:t>2</m:t>
            </m:r>
          </m:sup>
        </m:sSup>
      </m:oMath>
      <w:r>
        <w:t xml:space="preserve"> </w:t>
      </w:r>
      <w:r>
        <w:t xml:space="preserve">query-key dot products, then applies the mask to zero out unwanted positions before softmax. In effect, Scheme 8’s</w:t>
      </w:r>
      <w:r>
        <w:t xml:space="preserve"> </w:t>
      </w:r>
      <w:r>
        <w:t xml:space="preserve">“sparse”</w:t>
      </w:r>
      <w:r>
        <w:t xml:space="preserve"> </w:t>
      </w:r>
      <w:r>
        <w:t xml:space="preserve">attention has the same O(</w:t>
      </w:r>
      <m:oMath>
        <m:sSup>
          <m:e>
            <m:r>
              <m:t>L</m:t>
            </m:r>
          </m:e>
          <m:sup>
            <m:r>
              <m:t>2</m:t>
            </m:r>
          </m:sup>
        </m:sSup>
      </m:oMath>
      <w:r>
        <w:t xml:space="preserve">) GPU memory footprint as the dense attention it was designed to replace.</w:t>
      </w:r>
    </w:p>
    <w:p>
      <w:pPr>
        <w:pStyle w:val="BodyText"/>
      </w:pPr>
      <w:r>
        <w:t xml:space="preserve">Recent work on FlashAttention</w:t>
      </w:r>
      <w:r>
        <w:t xml:space="preserve"> </w:t>
      </w:r>
      <w:r>
        <w:t xml:space="preserve"> </w:t>
      </w:r>
      <w:r>
        <w:t xml:space="preserve">offers a different resolution to this paradox. Rather than avoiding the O(</w:t>
      </w:r>
      <m:oMath>
        <m:sSup>
          <m:e>
            <m:r>
              <m:t>L</m:t>
            </m:r>
          </m:e>
          <m:sup>
            <m:r>
              <m:t>2</m:t>
            </m:r>
          </m:sup>
        </m:sSup>
      </m:oMath>
      <w:r>
        <w:t xml:space="preserve">) computation, FlashAttention reduces the dominant cost—HBM (high-bandwidth memory) access—by performing the entire softmax computation in on-chip SRAM cache. This reduces GPU memory from O(</w:t>
      </w:r>
      <m:oMath>
        <m:sSup>
          <m:e>
            <m:r>
              <m:t>L</m:t>
            </m:r>
          </m:e>
          <m:sup>
            <m:r>
              <m:t>2</m:t>
            </m:r>
          </m:sup>
        </m:sSup>
      </m:oMath>
      <w:r>
        <w:t xml:space="preserve">) to O(L) without sacrificing computational density.</w:t>
      </w:r>
    </w:p>
    <w:p>
      <w:pPr>
        <w:pStyle w:val="BodyText"/>
      </w:pPr>
      <w:r>
        <w:t xml:space="preserve">We propose that the correct design for physics-guided attention in RNA structure prediction combines three elements: (1) FlashAttention for O(L) memory with dense GPU utilization, (2) ViennaRNA pair probabilities as soft attention bias rather than hard mask, and (3) learnable correction gates that allow the model to override the physics prior when warranted.</w:t>
      </w:r>
    </w:p>
    <w:bookmarkEnd w:id="54"/>
    <w:bookmarkStart w:id="55" w:name="limitations"/>
    <w:p>
      <w:pPr>
        <w:pStyle w:val="Heading2"/>
      </w:pPr>
      <w:r>
        <w:t xml:space="preserve">Limitations</w:t>
      </w:r>
    </w:p>
    <w:p>
      <w:pPr>
        <w:pStyle w:val="FirstParagraph"/>
      </w:pPr>
      <w:r>
        <w:t xml:space="preserve">We acknowledge several limitations:</w:t>
      </w:r>
    </w:p>
    <w:p>
      <w:pPr>
        <w:numPr>
          <w:ilvl w:val="0"/>
          <w:numId w:val="1004"/>
        </w:numPr>
      </w:pPr>
      <w:r>
        <w:rPr>
          <w:b/>
          <w:bCs/>
        </w:rPr>
        <w:t xml:space="preserve">Small test set (N=7):</w:t>
      </w:r>
      <w:r>
        <w:t xml:space="preserve"> </w:t>
      </w:r>
      <w:r>
        <w:t xml:space="preserve">Limited statistical power precludes definitive conclusions.</w:t>
      </w:r>
    </w:p>
    <w:p>
      <w:pPr>
        <w:numPr>
          <w:ilvl w:val="0"/>
          <w:numId w:val="1004"/>
        </w:numPr>
      </w:pPr>
      <w:r>
        <w:rPr>
          <w:b/>
          <w:bCs/>
        </w:rPr>
        <w:t xml:space="preserve">Incomplete comparison:</w:t>
      </w:r>
      <w:r>
        <w:t xml:space="preserve"> </w:t>
      </w:r>
      <w:r>
        <w:t xml:space="preserve">Schemes 4, 7, and 8 are not yet fully trained.</w:t>
      </w:r>
    </w:p>
    <w:p>
      <w:pPr>
        <w:numPr>
          <w:ilvl w:val="0"/>
          <w:numId w:val="1004"/>
        </w:numPr>
      </w:pPr>
      <w:r>
        <w:rPr>
          <w:b/>
          <w:bCs/>
        </w:rPr>
        <w:t xml:space="preserve">Pseudo-label quality:</w:t>
      </w:r>
      <w:r>
        <w:t xml:space="preserve"> </w:t>
      </w:r>
      <w:r>
        <w:t xml:space="preserve">Training data consists primarily of computational predictions.</w:t>
      </w:r>
    </w:p>
    <w:p>
      <w:pPr>
        <w:numPr>
          <w:ilvl w:val="0"/>
          <w:numId w:val="1004"/>
        </w:numPr>
      </w:pPr>
      <w:r>
        <w:rPr>
          <w:b/>
          <w:bCs/>
        </w:rPr>
        <w:t xml:space="preserve">No wet-lab validation:</w:t>
      </w:r>
      <w:r>
        <w:t xml:space="preserve"> </w:t>
      </w:r>
      <w:r>
        <w:t xml:space="preserve">All results are computational.</w:t>
      </w:r>
    </w:p>
    <w:p>
      <w:pPr>
        <w:numPr>
          <w:ilvl w:val="0"/>
          <w:numId w:val="1004"/>
        </w:numPr>
      </w:pPr>
      <w:r>
        <w:rPr>
          <w:b/>
          <w:bCs/>
        </w:rPr>
        <w:t xml:space="preserve">Missing external baselines:</w:t>
      </w:r>
      <w:r>
        <w:t xml:space="preserve"> </w:t>
      </w:r>
      <w:r>
        <w:t xml:space="preserve">Comparison with IsRNA, AlphaFold3, and FARFAR2 is pending.</w:t>
      </w:r>
    </w:p>
    <w:bookmarkEnd w:id="55"/>
    <w:bookmarkEnd w:id="56"/>
    <w:bookmarkStart w:id="60" w:name="methods"/>
    <w:p>
      <w:pPr>
        <w:pStyle w:val="Heading1"/>
      </w:pPr>
      <w:r>
        <w:t xml:space="preserve">Methods</w:t>
      </w:r>
    </w:p>
    <w:bookmarkStart w:id="57" w:name="torus-positional-encoding"/>
    <w:p>
      <w:pPr>
        <w:pStyle w:val="Heading2"/>
      </w:pPr>
      <w:r>
        <w:t xml:space="preserve">Torus Positional Encoding</w:t>
      </w:r>
    </w:p>
    <w:p>
      <w:pPr>
        <w:pStyle w:val="FirstParagraph"/>
      </w:pPr>
      <w:r>
        <w:t xml:space="preserve">Torus Positional Encoding (TPE) is defined as:</w:t>
      </w:r>
    </w:p>
    <w:p>
      <w:pPr>
        <w:pStyle w:val="BodyText"/>
      </w:pPr>
      <m:oMathPara>
        <m:oMathParaPr>
          <m:jc m:val="center"/>
        </m:oMathParaPr>
        <m:oMath>
          <m:r>
            <m:rPr>
              <m:nor/>
              <m:sty m:val="p"/>
            </m:rPr>
            <m:t>TPE</m:t>
          </m:r>
          <m:r>
            <m:rPr>
              <m:sty m:val="p"/>
            </m:rPr>
            <m:t>(</m:t>
          </m:r>
          <m:r>
            <m:t>i</m:t>
          </m:r>
          <m:r>
            <m:rPr>
              <m:sty m:val="p"/>
            </m:rPr>
            <m:t>,</m:t>
          </m:r>
          <m:r>
            <m:t>2</m:t>
          </m:r>
          <m:r>
            <m:t>h</m:t>
          </m:r>
          <m:r>
            <m:rPr>
              <m:sty m:val="p"/>
            </m:rPr>
            <m:t>)</m:t>
          </m:r>
          <m:r>
            <m:rPr>
              <m:sty m:val="p"/>
            </m:rPr>
            <m:t>=</m:t>
          </m:r>
          <m:r>
            <m:rPr>
              <m:sty m:val="p"/>
            </m:rPr>
            <m:t>sin</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m:oMathPara>
        <m:oMathParaPr>
          <m:jc m:val="center"/>
        </m:oMathParaPr>
        <m:oMath>
          <m:r>
            <m:rPr>
              <m:nor/>
              <m:sty m:val="p"/>
            </m:rPr>
            <m:t>TPE</m:t>
          </m:r>
          <m:r>
            <m:rPr>
              <m:sty m:val="p"/>
            </m:rPr>
            <m:t>(</m:t>
          </m:r>
          <m:r>
            <m:t>i</m:t>
          </m:r>
          <m:r>
            <m:rPr>
              <m:sty m:val="p"/>
            </m:rPr>
            <m:t>,</m:t>
          </m:r>
          <m:r>
            <m:t>2</m:t>
          </m:r>
          <m:r>
            <m:t>h</m:t>
          </m:r>
          <m:r>
            <m:rPr>
              <m:sty m:val="p"/>
            </m:rPr>
            <m:t>+</m:t>
          </m:r>
          <m:r>
            <m:t>1</m:t>
          </m:r>
          <m:r>
            <m:rPr>
              <m:sty m:val="p"/>
            </m:rPr>
            <m:t>)</m:t>
          </m:r>
          <m:r>
            <m:rPr>
              <m:sty m:val="p"/>
            </m:rPr>
            <m:t>=</m:t>
          </m:r>
          <m:r>
            <m:rPr>
              <m:sty m:val="p"/>
            </m:rPr>
            <m:t>cos</m:t>
          </m:r>
          <m:r>
            <m:rPr>
              <m:sty m:val="p"/>
            </m:rPr>
            <m:t>(</m:t>
          </m:r>
          <m:r>
            <m:t>2</m:t>
          </m:r>
          <m:r>
            <m:t>π</m:t>
          </m:r>
          <m:r>
            <m:rPr>
              <m:sty m:val="p"/>
            </m:rPr>
            <m:t>×</m:t>
          </m:r>
          <m:r>
            <m:t>h</m:t>
          </m:r>
          <m:r>
            <m:rPr>
              <m:sty m:val="p"/>
            </m:rPr>
            <m:t>×</m:t>
          </m:r>
          <m:r>
            <m:t>i</m:t>
          </m:r>
          <m:r>
            <m:rPr>
              <m:sty m:val="p"/>
            </m:rPr>
            <m:t>/</m:t>
          </m:r>
          <m:r>
            <m:t>L</m:t>
          </m:r>
          <m:r>
            <m:rPr>
              <m:sty m:val="p"/>
            </m:rPr>
            <m:t>)</m:t>
          </m:r>
        </m:oMath>
      </m:oMathPara>
    </w:p>
    <w:p>
      <w:pPr>
        <w:pStyle w:val="FirstParagraph"/>
      </w:pPr>
      <w:r>
        <w:t xml:space="preserve">for position</w:t>
      </w:r>
      <w:r>
        <w:t xml:space="preserve"> </w:t>
      </w:r>
      <m:oMath>
        <m:r>
          <m:t>i</m:t>
        </m:r>
        <m:r>
          <m:rPr>
            <m:sty m:val="p"/>
          </m:rPr>
          <m:t>∈</m:t>
        </m:r>
        <m:r>
          <m:rPr>
            <m:sty m:val="p"/>
          </m:rPr>
          <m:t>{</m:t>
        </m:r>
        <m:r>
          <m:t>0</m:t>
        </m:r>
        <m:r>
          <m:rPr>
            <m:sty m:val="p"/>
          </m:rPr>
          <m:t>,</m:t>
        </m:r>
        <m:r>
          <m:rPr>
            <m:sty m:val="p"/>
          </m:rPr>
          <m:t>.</m:t>
        </m:r>
        <m:r>
          <m:rPr>
            <m:sty m:val="p"/>
          </m:rPr>
          <m:t>.</m:t>
        </m:r>
        <m:r>
          <m:rPr>
            <m:sty m:val="p"/>
          </m:rPr>
          <m:t>.</m:t>
        </m:r>
        <m:r>
          <m:rPr>
            <m:sty m:val="p"/>
          </m:rPr>
          <m:t>,</m:t>
        </m:r>
        <m:r>
          <m:t>L</m:t>
        </m:r>
        <m:r>
          <m:rPr>
            <m:sty m:val="p"/>
          </m:rPr>
          <m:t>−</m:t>
        </m:r>
        <m:r>
          <m:t>1</m:t>
        </m:r>
        <m:r>
          <m:rPr>
            <m:sty m:val="p"/>
          </m:rPr>
          <m:t>}</m:t>
        </m:r>
      </m:oMath>
      <w:r>
        <w:t xml:space="preserve">, harmonic</w:t>
      </w:r>
      <w:r>
        <w:t xml:space="preserve"> </w:t>
      </w:r>
      <m:oMath>
        <m:r>
          <m:t>h</m:t>
        </m:r>
        <m:r>
          <m:rPr>
            <m:sty m:val="p"/>
          </m:rPr>
          <m:t>∈</m:t>
        </m:r>
        <m:r>
          <m:rPr>
            <m:sty m:val="p"/>
          </m:rPr>
          <m:t>{</m:t>
        </m:r>
        <m:r>
          <m:t>1</m:t>
        </m:r>
        <m:r>
          <m:rPr>
            <m:sty m:val="p"/>
          </m:rPr>
          <m:t>,</m:t>
        </m:r>
        <m:r>
          <m:rPr>
            <m:sty m:val="p"/>
          </m:rPr>
          <m:t>.</m:t>
        </m:r>
        <m:r>
          <m:rPr>
            <m:sty m:val="p"/>
          </m:rPr>
          <m:t>.</m:t>
        </m:r>
        <m:r>
          <m:rPr>
            <m:sty m:val="p"/>
          </m:rPr>
          <m:t>.</m:t>
        </m:r>
        <m:r>
          <m:rPr>
            <m:sty m:val="p"/>
          </m:rPr>
          <m:t>,</m:t>
        </m:r>
        <m:r>
          <m:t>H</m:t>
        </m:r>
        <m:r>
          <m:rPr>
            <m:sty m:val="p"/>
          </m:rPr>
          <m:t>}</m:t>
        </m:r>
      </m:oMath>
      <w:r>
        <w:t xml:space="preserve">, and embedding dimension 2H. Periodicity is guaranteed by the</w:t>
      </w:r>
      <w:r>
        <w:t xml:space="preserve"> </w:t>
      </w:r>
      <m:oMath>
        <m:r>
          <m:t>2</m:t>
        </m:r>
        <m:r>
          <m:t>π</m:t>
        </m:r>
      </m:oMath>
      <w:r>
        <w:t xml:space="preserve"> </w:t>
      </w:r>
      <w:r>
        <w:t xml:space="preserve">periodicity of sine and cosine. We use</w:t>
      </w:r>
      <w:r>
        <w:t xml:space="preserve"> </w:t>
      </w:r>
      <m:oMath>
        <m:r>
          <m:t>H</m:t>
        </m:r>
        <m:r>
          <m:rPr>
            <m:sty m:val="p"/>
          </m:rPr>
          <m:t>=</m:t>
        </m:r>
        <m:r>
          <m:t>16</m:t>
        </m:r>
      </m:oMath>
      <w:r>
        <w:t xml:space="preserve"> </w:t>
      </w:r>
      <w:r>
        <w:t xml:space="preserve">harmonics by default, providing 32-dimensional positional encoding.</w:t>
      </w:r>
    </w:p>
    <w:bookmarkEnd w:id="57"/>
    <w:bookmarkStart w:id="58" w:name="data-pipeline"/>
    <w:p>
      <w:pPr>
        <w:pStyle w:val="Heading2"/>
      </w:pPr>
      <w:r>
        <w:t xml:space="preserve">Data Pipeline</w:t>
      </w:r>
    </w:p>
    <w:p>
      <w:pPr>
        <w:pStyle w:val="FirstParagraph"/>
      </w:pPr>
      <w:r>
        <w:rPr>
          <w:b/>
          <w:bCs/>
        </w:rPr>
        <w:t xml:space="preserve">PDB Circularized Set (N=7):</w:t>
      </w:r>
      <w:r>
        <w:t xml:space="preserve"> </w:t>
      </w:r>
      <w:r>
        <w:t xml:space="preserve">Linear RNA structures from PDB were circularized using GeometricConstraintSolver with bond length constraint 5.9Å and annealing closure.</w:t>
      </w:r>
    </w:p>
    <w:p>
      <w:pPr>
        <w:pStyle w:val="BodyText"/>
      </w:pPr>
      <w:r>
        <w:rPr>
          <w:b/>
          <w:bCs/>
        </w:rPr>
        <w:t xml:space="preserve">circrna_3d_merged (N</w:t>
      </w:r>
      <m:oMath>
        <m:r>
          <m:rPr>
            <m:sty m:val="p"/>
          </m:rPr>
          <m:t>≈</m:t>
        </m:r>
      </m:oMath>
      <w:r>
        <w:rPr>
          <w:b/>
          <w:bCs/>
        </w:rPr>
        <w:t xml:space="preserve">14,000):</w:t>
      </w:r>
      <w:r>
        <w:t xml:space="preserve"> </w:t>
      </w:r>
      <w:r>
        <w:t xml:space="preserve">Multi-source aggregation of IsRNA predictions, icSHAPE-constrained structures, and ViennaRNA circ-mode predictions.</w:t>
      </w:r>
    </w:p>
    <w:bookmarkEnd w:id="58"/>
    <w:bookmarkStart w:id="59" w:name="evaluation-metrics"/>
    <w:p>
      <w:pPr>
        <w:pStyle w:val="Heading2"/>
      </w:pPr>
      <w:r>
        <w:t xml:space="preserve">Evaluation Metrics</w:t>
      </w:r>
    </w:p>
    <w:p>
      <w:pPr>
        <w:pStyle w:val="FirstParagraph"/>
      </w:pPr>
      <w:r>
        <w:rPr>
          <w:b/>
          <w:bCs/>
        </w:rPr>
        <w:t xml:space="preserve">RMSD (Root Mean Square Deviation):</w:t>
      </w:r>
      <w:r>
        <w:t xml:space="preserve"> </w:t>
      </w:r>
      <w:r>
        <w:t xml:space="preserve">Computed after Kabsch alignment:</w:t>
      </w:r>
    </w:p>
    <w:p>
      <w:pPr>
        <w:pStyle w:val="BodyText"/>
      </w:pPr>
      <m:oMathPara>
        <m:oMathParaPr>
          <m:jc m:val="center"/>
        </m:oMathParaPr>
        <m:oMath>
          <m:r>
            <m:rPr>
              <m:nor/>
              <m:sty m:val="p"/>
            </m:rPr>
            <m:t>RMSD</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r>
                    <m:rPr>
                      <m:sty m:val="p"/>
                    </m:rPr>
                    <m:t>∥</m:t>
                  </m:r>
                </m:e>
              </m:nary>
              <m:sSub>
                <m:e>
                  <m:r>
                    <m:t>p</m:t>
                  </m:r>
                </m:e>
                <m:sub>
                  <m:r>
                    <m:t>i</m:t>
                  </m:r>
                </m:sub>
              </m:sSub>
              <m:r>
                <m:rPr>
                  <m:sty m:val="p"/>
                </m:rPr>
                <m:t>−</m:t>
              </m:r>
              <m:sSub>
                <m:e>
                  <m:r>
                    <m:t>q</m:t>
                  </m:r>
                </m:e>
                <m:sub>
                  <m:r>
                    <m:t>i</m:t>
                  </m:r>
                </m:sub>
              </m:sSub>
              <m:sSup>
                <m:e>
                  <m:r>
                    <m:rPr>
                      <m:sty m:val="p"/>
                    </m:rPr>
                    <m:t>∥</m:t>
                  </m:r>
                </m:e>
                <m:sup>
                  <m:r>
                    <m:t>2</m:t>
                  </m:r>
                </m:sup>
              </m:sSup>
            </m:e>
          </m:rad>
        </m:oMath>
      </m:oMathPara>
    </w:p>
    <w:p>
      <w:pPr>
        <w:pStyle w:val="FirstParagraph"/>
      </w:pPr>
      <w:r>
        <w:rPr>
          <w:b/>
          <w:bCs/>
        </w:rPr>
        <w:t xml:space="preserve">Closure Error:</w:t>
      </w:r>
      <w:r>
        <w:t xml:space="preserve"> </w:t>
      </w:r>
      <w:r>
        <w:t xml:space="preserve">Distance between first and last nucleotide coordinates:</w:t>
      </w:r>
    </w:p>
    <w:p>
      <w:pPr>
        <w:pStyle w:val="BodyText"/>
      </w:pPr>
      <m:oMathPara>
        <m:oMathParaPr>
          <m:jc m:val="center"/>
        </m:oMathParaPr>
        <m:oMath>
          <m:r>
            <m:rPr>
              <m:nor/>
              <m:sty m:val="p"/>
            </m:rPr>
            <m:t>closure</m:t>
          </m:r>
          <m:r>
            <m:rPr>
              <m:sty m:val="p"/>
            </m:rPr>
            <m:t>=</m:t>
          </m:r>
          <m:r>
            <m:rPr>
              <m:sty m:val="p"/>
            </m:rPr>
            <m:t>∥</m:t>
          </m:r>
          <m:sSub>
            <m:e>
              <m:r>
                <m:t>p</m:t>
              </m:r>
            </m:e>
            <m:sub>
              <m:r>
                <m:t>0</m:t>
              </m:r>
            </m:sub>
          </m:sSub>
          <m:r>
            <m:rPr>
              <m:sty m:val="p"/>
            </m:rPr>
            <m:t>−</m:t>
          </m:r>
          <m:sSub>
            <m:e>
              <m:r>
                <m:t>p</m:t>
              </m:r>
            </m:e>
            <m:sub>
              <m:r>
                <m:t>L</m:t>
              </m:r>
              <m:r>
                <m:rPr>
                  <m:sty m:val="p"/>
                </m:rPr>
                <m:t>−</m:t>
              </m:r>
              <m:r>
                <m:t>1</m:t>
              </m:r>
            </m:sub>
          </m:sSub>
          <m:r>
            <m:rPr>
              <m:sty m:val="p"/>
            </m:rPr>
            <m:t>∥</m:t>
          </m:r>
        </m:oMath>
      </m:oMathPara>
    </w:p>
    <w:p>
      <w:pPr>
        <w:pStyle w:val="FirstParagraph"/>
      </w:pPr>
      <w:r>
        <w:t xml:space="preserve">Target: 5.9Å (phosphodiester bond length).</w:t>
      </w:r>
    </w:p>
    <w:bookmarkEnd w:id="59"/>
    <w:bookmarkEnd w:id="60"/>
    <w:bookmarkStart w:id="61" w:name="data-and-code-availability"/>
    <w:p>
      <w:pPr>
        <w:pStyle w:val="Heading1"/>
      </w:pPr>
      <w:r>
        <w:t xml:space="preserve">Data and Code Availability</w:t>
      </w:r>
    </w:p>
    <w:p>
      <w:pPr>
        <w:pStyle w:val="FirstParagraph"/>
      </w:pPr>
      <w:r>
        <w:t xml:space="preserve">Code is available at github.com/RomanCohort/confluencia under MIT license.</w:t>
      </w:r>
    </w:p>
    <w:bookmarkEnd w:id="61"/>
    <w:bookmarkStart w:id="62" w:name="acknowledgments"/>
    <w:p>
      <w:pPr>
        <w:pStyle w:val="Heading1"/>
      </w:pPr>
      <w:r>
        <w:t xml:space="preserve">Acknowledgments</w:t>
      </w:r>
    </w:p>
    <w:p>
      <w:pPr>
        <w:pStyle w:val="FirstParagraph"/>
      </w:pPr>
      <w:r>
        <w:t xml:space="preserve">This work was conducted as part of iGEM 2026 by the FBH (First Build High School) team for the development of circRNA-based TNBC vaccines.</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df" /><Relationship Type="http://schemas.openxmlformats.org/officeDocument/2006/relationships/image" Id="rId17" Target="media/rId17.pdf" /><Relationship Type="http://schemas.openxmlformats.org/officeDocument/2006/relationships/image" Id="rId21" Target="media/rId21.pdf" /><Relationship Type="http://schemas.openxmlformats.org/officeDocument/2006/relationships/image" Id="rId26" Target="media/rId26.pdf" /><Relationship Type="http://schemas.openxmlformats.org/officeDocument/2006/relationships/image" Id="rId31" Target="media/rId31.pdf" /><Relationship Type="http://schemas.openxmlformats.org/officeDocument/2006/relationships/image" Id="rId36" Target="media/rId36.pdf" /><Relationship Type="http://schemas.openxmlformats.org/officeDocument/2006/relationships/image" Id="rId41" Target="media/rId41.pdf" /><Relationship Type="http://schemas.openxmlformats.org/officeDocument/2006/relationships/image" Id="rId46" Target="media/rId46.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TorusFold: Torus-Aware Deep Learning Architectures for Circular RNA 3D Structure Prediction</dc:title>
  <dc:creator>iGEM FBH Team iGEM 2026, First Build High School</dc:creator>
  <cp:keywords/>
  <dcterms:created xsi:type="dcterms:W3CDTF">2026-06-26T17:18:57Z</dcterms:created>
  <dcterms:modified xsi:type="dcterms:W3CDTF">2026-06-26T17:18:57Z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Circular RNAs (circRNAs) represent a promising therapeutic modality for vaccine development and gene regulation, yet computational prediction of their 3D structures remains challenging. No experimental circRNA structures exist in the Protein Data Bank, and standard deep learning architectures are fundamentally incompatible with circular topology: linear positional encodings violate the periodicity constraint PE(i) \neq PE(i+L), treating the back-spliced junction (BSJ) as maximally distant when it is spatially adjacent.Here we present TorusFold, a systematic exploration of eight deep learning architectures for circRNA 3D structure prediction under data scarcity. We introduce Torus Positional Encoding (TPE) that mathematically guarantees periodicity through sinusoidal functions with period L, enabling neural networks to respect circular topology. We compare EGNN-based cascade (Scheme 1, RMSD 13.85Å), physics-only solver (Scheme 2, \sim2Å RMSD), DDPM+EGNN guided diffusion (Scheme 4, TBD), GNN latent diffusion (Scheme 6, RMSD 13.91Å, closure 0.02Å), Mamba+Transformer hybrid (Scheme 7, TBD), and Sparse Pair-Guided Hybrid (Scheme 8, TBD). Schemes 3 and 5 were abandoned due to persistent training instabilities (gradient explosion, CPU saturation), providing instructive negative results.On our PDB-derived circularized test set (N=7), Scheme 6 achieves RMSD 13.91Å with closure error 0.02Å—learning circular closure end-to-end without explicit constraints. Scheme 2 achieves \sim2Å RMSD with guaranteed closure. Comparison with IsRNA, AlphaFold3, and FARFAR2 is pending. TPE versus standard positional encoding ablation is pending. We establish evaluation protocols specific to circRNA (BSJ closure error, circular distance metrics) and release benchmark datasets for community use. TorusFold provides a methodological foundation for circRNA structure prediction where none existed.</vt:lpwstr>
  </property>
  <property fmtid="{D5CDD505-2E9C-101B-9397-08002B2CF9AE}" pid="3" name="bibliography">
    <vt:lpwstr/>
  </property>
  <property fmtid="{D5CDD505-2E9C-101B-9397-08002B2CF9AE}" pid="4" name="date">
    <vt:lpwstr>2026-06-25</vt:lpwstr>
  </property>
</Properties>
</file>