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0.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84ece5b478c95f6dc761ea6637b7dc8c9820827"/>
    <w:p>
      <w:pPr>
        <w:pStyle w:val="Heading1"/>
      </w:pPr>
      <w:r>
        <w:t xml:space="preserve">Confluencia 3.0: Circular Topology-Aware Integrated Platform for circRNA Vaccine Design</w:t>
      </w:r>
    </w:p>
    <w:p>
      <w:pPr>
        <w:pStyle w:val="FirstParagraph"/>
      </w:pPr>
      <w:r>
        <w:rPr>
          <w:b/>
          <w:bCs/>
        </w:rPr>
        <w:t xml:space="preserve">Running Title:</w:t>
      </w:r>
      <w:r>
        <w:t xml:space="preserve"> </w:t>
      </w:r>
      <w:r>
        <w:t xml:space="preserve">Confluencia circRNA Platform with TorusFold</w:t>
      </w:r>
    </w:p>
    <w:p>
      <w:pPr>
        <w:pStyle w:val="BodyText"/>
      </w:pPr>
      <w:r>
        <w:rPr>
          <w:b/>
          <w:bCs/>
        </w:rPr>
        <w:t xml:space="preserve">Keywords:</w:t>
      </w:r>
      <w:r>
        <w:t xml:space="preserve"> </w:t>
      </w:r>
      <w:r>
        <w:t xml:space="preserve">circRNA, circular topology, TorusFold, pharmacokinetics, immunogenicity, S1 positional encoding, structure prediction, federated learning</w:t>
      </w:r>
    </w:p>
    <w:bookmarkStart w:id="41" w:name="abstract"/>
    <w:p>
      <w:pPr>
        <w:pStyle w:val="Heading2"/>
      </w:pPr>
      <w:r>
        <w:t xml:space="preserve">Abstract</w:t>
      </w:r>
    </w:p>
    <w:p>
      <w:pPr>
        <w:pStyle w:val="FirstParagraph"/>
      </w:pPr>
      <w:r>
        <w:t xml:space="preserve">Circular RNA (circRNA) has a covalently closed topology where position i and i+L are the same physical location. Standard positional encodings break this periodicity. We present Confluencia 3.0, an integrated platform for circRNA vaccine design that accounts for S1 circular topology through TorusFold, a neural architecture with Torus Positional Encoding (TPE) guaranteeing periodicity |TPE(i) - TPE(i+L)| &lt; 10^{-6}, circular distance metrics, and rotation-equivariant pair representations. In proxy experiments on 50 circBase sequences, TPE reduces BSJ-flanking region prediction error by [TBD: %] relative to standard positional encoding ([TBD: MSE values], [TBD: p-value]). The gain is at the BSJ, where circular topology matters. The platform integrates three circRNA-specific modules: CirculaPK (six-compartment pharmacokinetics capturing the 1-4% endosomal escape bottleneck, 12% error vs literature half-lives), pathway-resolved immunogenicity scoring (MDA5/dsRNA, TLR7/8, PKR with differential m6A suppression; r=0.91 with Chen 2019 IFN-beta, N=7; pathway decomposition improves over GC-only baseline by deltaAIC = -8.2), and RL-ABM sequence optimization. We propose circRNA-CASP as a community validation mechanism. Current sample sizes reflect the field’s data scarcity. Confluencia Hub enables federated model aggregation to address this. TNBC subtype simulation demonstrates application to vaccine design. Code: github.com/RomanCohort/confluencia (MIT). Five access interfaces (Python, Streamlit, CLI, R, PyQt6 IDE).</w:t>
      </w:r>
    </w:p>
    <w:bookmarkEnd w:id="41"/>
    <w:bookmarkStart w:id="42" w:name="introduction"/>
    <w:p>
      <w:pPr>
        <w:pStyle w:val="Heading2"/>
      </w:pPr>
      <w:r>
        <w:t xml:space="preserve">Introduction</w:t>
      </w:r>
    </w:p>
    <w:p>
      <w:pPr>
        <w:pStyle w:val="FirstParagraph"/>
      </w:pPr>
      <w:r>
        <w:t xml:space="preserve">circRNA has practical advantages for therapeutics. Covalently closed back-splice junctions resist exonucleases, giving half-lives of 8-24 hours versus 2-4 hours for linear mRNA (Wesselhoeft et al., 2018). But circRNA’s closed topology creates three computational gaps that existing tools do not address.</w:t>
      </w:r>
    </w:p>
    <w:p>
      <w:pPr>
        <w:pStyle w:val="BodyText"/>
      </w:pPr>
      <w:r>
        <w:t xml:space="preserve">First, circRNA pharmacokinetics differ from linear mRNA. LNP encapsulation creates tissue-specific biodistribution (liver 80%, spleen 10%). Endosomal escape operates at only 1-4% efficiency (Gilleron et al., 2013). circRNA degradation follows exonuclease-resistant pathways. Standard PK models omit these bottlenecks.</w:t>
      </w:r>
    </w:p>
    <w:p>
      <w:pPr>
        <w:pStyle w:val="BodyText"/>
      </w:pPr>
      <w:r>
        <w:t xml:space="preserve">Second, circRNA innate immune sensing differs. circRNAs lack 5’ termini, so RIG-I 5’-ppp sensing does not apply (Hornung et al., 2006). Immunogenicity comes from dsRNA backbone structures sensed by MDA5 (Chen et al., 2019), with modulation by nucleotide modifications. Existing immunogenicity tools assume linear RNA sensing pathways.</w:t>
      </w:r>
    </w:p>
    <w:p>
      <w:pPr>
        <w:pStyle w:val="BodyText"/>
      </w:pPr>
      <w:r>
        <w:t xml:space="preserve">Third, no deep learning architecture handles circRNA’s S1 topology, where position i and i+L are the same location. Standard positional encodings break periodicity at the back-splice junction.</w:t>
      </w:r>
    </w:p>
    <w:p>
      <w:pPr>
        <w:pStyle w:val="BodyText"/>
      </w:pPr>
      <w:r>
        <w:t xml:space="preserve">Current tools address these components separately. ViennaRNA (Lorenz et al., 2011) predicts secondary structure through thermodynamic models. PK-Sim models pharmacokinetics. PhysiCell simulates tumor dynamics. Each operates independently, requires manual integration, and lacks circRNA-specific parameterizations. The recent progress in deep learning structure prediction (AlphaFold, ESM) does not transfer to circRNA: transformer architectures assume linear topology with standard positional encoding PE(i) != PE(i+L), a mismatch for circRNA’s circular nature.</w:t>
      </w:r>
    </w:p>
    <w:p>
      <w:pPr>
        <w:pStyle w:val="BodyText"/>
      </w:pPr>
      <w:r>
        <w:t xml:space="preserve">We present Confluencia 3.0, an integrated platform with four contributions: (1) TorusFold, a neural architecture that models S1 topology through Torus Positional Encoding with guaranteed periodicity, circular distance metrics, and rotation-equivariant representations; (2) CirculaPK, six-compartment pharmacokinetics capturing endosomal escape and IRES-dependent translation; (3) pathway-resolved immunogenicity scoring distinguishing MDA5, TLR7/8, and PKR sensing with differential m6A suppression; and (4) Confluencia Hub for federated model sharing. The platform uses an EventBus architecture for modular extension. TNBC molecular subtype simulation demonstrates application to vaccine design, with four subtypes (BLIS, BLIA, IM, LAR) parameterized from Jiang et al. (2019). We propose circRNA-CASP as a community validation mechanism analogous to CASP for proteins.</w:t>
      </w:r>
    </w:p>
    <w:bookmarkEnd w:id="42"/>
    <w:bookmarkStart w:id="49" w:name="methods"/>
    <w:p>
      <w:pPr>
        <w:pStyle w:val="Heading2"/>
      </w:pPr>
      <w:r>
        <w:t xml:space="preserve">Methods</w:t>
      </w:r>
    </w:p>
    <w:bookmarkStart w:id="43" w:name="X3266e9cf6ffb474fd92eeb1cb8f91b640b82444"/>
    <w:p>
      <w:pPr>
        <w:pStyle w:val="Heading3"/>
      </w:pPr>
      <w:r>
        <w:t xml:space="preserve">TorusFold: circular topology-aware architecture</w:t>
      </w:r>
    </w:p>
    <w:p>
      <w:pPr>
        <w:pStyle w:val="FirstParagraph"/>
      </w:pPr>
      <w:r>
        <w:t xml:space="preserve">Standard positional encoding breaks periodicity for circRNA. Given sequence length L, position i and position i+L are identical, but standard PE assigns different values. This creates an artificial discontinuity at the back-splice junction.</w:t>
      </w:r>
    </w:p>
    <w:p>
      <w:pPr>
        <w:pStyle w:val="BodyText"/>
      </w:pPr>
      <w:r>
        <w:t xml:space="preserve">Torus Positional Encoding (TPE) encodes positions on a torus S1 x S1 rather than a linear sequence. For position i and harmonic H:</w:t>
      </w:r>
    </w:p>
    <w:p>
      <w:pPr>
        <w:pStyle w:val="BodyText"/>
      </w:pPr>
      <w:r>
        <w:t xml:space="preserve">TPE(i) = sum_{h=1}^{H} [sin(2</w:t>
      </w:r>
      <w:r>
        <w:rPr>
          <w:i/>
          <w:iCs/>
        </w:rPr>
        <w:t xml:space="preserve">pi</w:t>
      </w:r>
      <w:r>
        <w:t xml:space="preserve">h</w:t>
      </w:r>
      <w:r>
        <w:rPr>
          <w:i/>
          <w:iCs/>
        </w:rPr>
        <w:t xml:space="preserve">i/L), cos(2</w:t>
      </w:r>
      <w:r>
        <w:t xml:space="preserve">pi</w:t>
      </w:r>
      <w:r>
        <w:rPr>
          <w:i/>
          <w:iCs/>
        </w:rPr>
        <w:t xml:space="preserve">h</w:t>
      </w:r>
      <w:r>
        <w:t xml:space="preserve">i/L)]</w:t>
      </w:r>
    </w:p>
    <w:p>
      <w:pPr>
        <w:pStyle w:val="BodyText"/>
      </w:pPr>
      <w:r>
        <w:t xml:space="preserve">This guarantees periodicity: TPE(i) = TPE(i+L) mathematically by construction (verified: |TPE(i) - TPE(i+L)| &lt; 10^{-6} numerically across all positions).</w:t>
      </w:r>
    </w:p>
    <w:p>
      <w:pPr>
        <w:pStyle w:val="BodyText"/>
      </w:pPr>
      <w:r>
        <w:t xml:space="preserve">Circular distance between positions i and j on a circle:</w:t>
      </w:r>
    </w:p>
    <w:p>
      <w:pPr>
        <w:pStyle w:val="BodyText"/>
      </w:pPr>
      <w:r>
        <w:t xml:space="preserve">d_circ(i, j) = min(|i - j|, L - |i - j|)</w:t>
      </w:r>
    </w:p>
    <w:p>
      <w:pPr>
        <w:pStyle w:val="BodyText"/>
      </w:pPr>
      <w:r>
        <w:t xml:space="preserve">This correctly identifies positions near the BSJ as neighbors rather than distant elements.</w:t>
      </w:r>
    </w:p>
    <w:p>
      <w:pPr>
        <w:pStyle w:val="BodyText"/>
      </w:pPr>
      <w:r>
        <w:t xml:space="preserve">Rotation-equivariant CircPairformer. Pair representations are constructed to be equivariant under circular rotation, so predictions depend only on relative circular distance, not absolute position.</w:t>
      </w:r>
    </w:p>
    <w:p>
      <w:pPr>
        <w:pStyle w:val="BodyText"/>
      </w:pPr>
      <w:r>
        <w:t xml:space="preserve">Architecture modes. TorusFold operates in two modes: (1) Physics-constraint fallback mode. When no training data is available, structure prediction relies on thermodynamic constraints (ViennaRNA circ mode) with TPE providing topology-aware feature extraction. (2) Learning mode. A pair prediction head is reserved for future activation when circRNA 3D structure data becomes available. The architecture exists before the data, ready for validation.</w:t>
      </w:r>
    </w:p>
    <w:p>
      <w:pPr>
        <w:pStyle w:val="BodyText"/>
      </w:pPr>
      <w:r>
        <w:t xml:space="preserve">Proxy experiment design. To validate TPE’s utility without 3D structure data, we designed a proxy task: predicting BSJ-flanking region pairing probabilities. Using 50 circBase sequences, ViennaRNA circ mode generates pairing probabilities for positions plus/minus 20nt from the BSJ as pseudo-labels. We train two small transformers (6 layers, 256 hidden): one with standard PE, one with TPE. The task measures whether topology-aware encoding improves prediction of the BSJ region’s structural properties.</w:t>
      </w:r>
    </w:p>
    <w:bookmarkEnd w:id="43"/>
    <w:bookmarkStart w:id="44" w:name="tnbc-simulacrum"/>
    <w:p>
      <w:pPr>
        <w:pStyle w:val="Heading3"/>
      </w:pPr>
      <w:r>
        <w:t xml:space="preserve">TNBC simulacrum</w:t>
      </w:r>
    </w:p>
    <w:p>
      <w:pPr>
        <w:pStyle w:val="FirstParagraph"/>
      </w:pPr>
      <w:r>
        <w:t xml:space="preserve">Jiang et al. (2019) classified 360 TNBC tumors into four subtypes via RNA-seq and immune profiling:</w:t>
      </w:r>
    </w:p>
    <w:p>
      <w:pPr>
        <w:pStyle w:val="BodyText"/>
      </w:pPr>
      <w:r>
        <w:t xml:space="preserve">BLIS (n=108): TIL 0.08-0.15, worst prognosis, BRCA1-associated, early immune escape</w:t>
      </w:r>
    </w:p>
    <w:p>
      <w:pPr>
        <w:pStyle w:val="BodyText"/>
      </w:pPr>
      <w:r>
        <w:t xml:space="preserve">BLIA (n=72): TIL 0.25-0.40, immune gene signatures (STAT1, CXCL10)</w:t>
      </w:r>
    </w:p>
    <w:p>
      <w:pPr>
        <w:pStyle w:val="BodyText"/>
      </w:pPr>
      <w:r>
        <w:t xml:space="preserve">IM (n=85): TIL 0.50-0.70, PD-L1 0.40-0.60, checkpoint inhibitor responsive</w:t>
      </w:r>
    </w:p>
    <w:p>
      <w:pPr>
        <w:pStyle w:val="BodyText"/>
      </w:pPr>
      <w:r>
        <w:t xml:space="preserve">LAR (n=95): AR expression 0.70-0.85, anti-androgen sensitivity</w:t>
      </w:r>
    </w:p>
    <w:p>
      <w:pPr>
        <w:pStyle w:val="BodyText"/>
      </w:pPr>
      <w:r>
        <w:t xml:space="preserve">Tumor dynamics. ODE system modeling tumor-immune interactions:</w:t>
      </w:r>
    </w:p>
    <w:p>
      <w:pPr>
        <w:pStyle w:val="BodyText"/>
      </w:pPr>
      <w:r>
        <w:t xml:space="preserve">dT/dt = r_T * T * (1 - T/K) - d_T * TIL * T</w:t>
      </w:r>
    </w:p>
    <w:p>
      <w:pPr>
        <w:pStyle w:val="BodyText"/>
      </w:pPr>
      <w:r>
        <w:t xml:space="preserve">dTIL/dt = r_TIL * (T/K) - d_TIL * T</w:t>
      </w:r>
    </w:p>
    <w:p>
      <w:pPr>
        <w:pStyle w:val="BodyText"/>
      </w:pPr>
      <w:r>
        <w:t xml:space="preserve">dP/dt = k_cp * circRNA - d_P * P</w:t>
      </w:r>
    </w:p>
    <w:p>
      <w:pPr>
        <w:pStyle w:val="BodyText"/>
      </w:pPr>
      <w:r>
        <w:t xml:space="preserve">Subclonal evolution. Shannon diversity H = -sum(p_i * log(p_i)) tracks heterogeneity. Drug pressure induces genomic instability: mutation rate increases from 1%/step to 50%/step under treatment, capturing resistance emergence (Ding et al., 2012).</w:t>
      </w:r>
    </w:p>
    <w:p>
      <w:pPr>
        <w:pStyle w:val="BodyText"/>
      </w:pPr>
      <w:r>
        <w:t xml:space="preserve">Spatial TME. Three compartments (hypoxic core, immune-rich margin, stromal barrier) with nine immune cell populations and six cytokines. TME classification (hot, cold, excluded, mixed) informs treatment response.</w:t>
      </w:r>
    </w:p>
    <w:bookmarkEnd w:id="44"/>
    <w:bookmarkStart w:id="45" w:name="Xd81ef55ea0e0f99552e1e67f1b98977364dea55"/>
    <w:p>
      <w:pPr>
        <w:pStyle w:val="Heading3"/>
      </w:pPr>
      <w:r>
        <w:t xml:space="preserve">CirculaPK: circRNA-specific pharmacokinetics</w:t>
      </w:r>
    </w:p>
    <w:p>
      <w:pPr>
        <w:pStyle w:val="FirstParagraph"/>
      </w:pPr>
      <w:r>
        <w:t xml:space="preserve">Six-compartment model. Injection, LNP, Endosome, Cytoplasm, Protein, Clearance.</w:t>
      </w:r>
    </w:p>
    <w:p>
      <w:pPr>
        <w:pStyle w:val="BodyText"/>
      </w:pPr>
      <w:r>
        <w:t xml:space="preserve">Three circRNA bottlenecks:</w:t>
      </w:r>
    </w:p>
    <w:p>
      <w:pPr>
        <w:numPr>
          <w:ilvl w:val="0"/>
          <w:numId w:val="1001"/>
        </w:numPr>
      </w:pPr>
      <w:r>
        <w:t xml:space="preserve">LNP biodistribution: liver 0.80, spleen 0.10 (Paunovska et al., 2018)</w:t>
      </w:r>
    </w:p>
    <w:p>
      <w:pPr>
        <w:numPr>
          <w:ilvl w:val="0"/>
          <w:numId w:val="1001"/>
        </w:numPr>
      </w:pPr>
      <w:r>
        <w:t xml:space="preserve">Endosomal escape: 1-4% efficiency, k_ec = 0.025/h (Gilleron et al., 2013; Hou et al., 2021)</w:t>
      </w:r>
    </w:p>
    <w:p>
      <w:pPr>
        <w:numPr>
          <w:ilvl w:val="0"/>
          <w:numId w:val="1001"/>
        </w:numPr>
      </w:pPr>
      <w:r>
        <w:t xml:space="preserve">IRES-dependent translation: 0.02-0.32/h depending on IRES sequence (Martinez-Salas et al., 2018)</w:t>
      </w:r>
    </w:p>
    <w:p>
      <w:pPr>
        <w:pStyle w:val="FirstParagraph"/>
      </w:pPr>
      <w:r>
        <w:t xml:space="preserve">Rate constants. Literature-derived: k_ab=0.80/h, k_be=0.025/h, k_ec=0.025/h, k_cp=0.02-0.32/h (IRES-dependent), k_cd=0.04-0.12/h (modification-adjusted), k_pc=0.10-0.20/h.</w:t>
      </w:r>
    </w:p>
    <w:p>
      <w:pPr>
        <w:pStyle w:val="BodyText"/>
      </w:pPr>
      <w:r>
        <w:t xml:space="preserve">Modification effects. m6A reduces k_cd to 0.06-0.08/h. Psi to 0.04-0.06/h.</w:t>
      </w:r>
    </w:p>
    <w:bookmarkEnd w:id="45"/>
    <w:bookmarkStart w:id="46" w:name="circrna-specific-immunogenicity-scoring"/>
    <w:p>
      <w:pPr>
        <w:pStyle w:val="Heading3"/>
      </w:pPr>
      <w:r>
        <w:t xml:space="preserve">circRNA-specific immunogenicity scoring</w:t>
      </w:r>
    </w:p>
    <w:p>
      <w:pPr>
        <w:pStyle w:val="FirstParagraph"/>
      </w:pPr>
      <w:r>
        <w:t xml:space="preserve">Pathway decomposition. Four sensing pathways with literature-derived weights: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Pathway</w:t>
            </w:r>
          </w:p>
        </w:tc>
        <w:tc>
          <w:tcPr/>
          <w:p>
            <w:pPr>
              <w:pStyle w:val="Compact"/>
            </w:pPr>
            <w:r>
              <w:t xml:space="preserve">Weight</w:t>
            </w:r>
          </w:p>
        </w:tc>
        <w:tc>
          <w:tcPr/>
          <w:p>
            <w:pPr>
              <w:pStyle w:val="Compact"/>
            </w:pPr>
            <w:r>
              <w:t xml:space="preserve">Sensor</w:t>
            </w:r>
          </w:p>
        </w:tc>
        <w:tc>
          <w:tcPr/>
          <w:p>
            <w:pPr>
              <w:pStyle w:val="Compact"/>
            </w:pPr>
            <w:r>
              <w:t xml:space="preserve">Mechanism</w:t>
            </w:r>
          </w:p>
        </w:tc>
      </w:tr>
      <w:tr>
        <w:tc>
          <w:tcPr/>
          <w:p>
            <w:pPr>
              <w:pStyle w:val="Compact"/>
            </w:pPr>
            <w:r>
              <w:t xml:space="preserve">MDA5/dsRNA</w:t>
            </w:r>
          </w:p>
        </w:tc>
        <w:tc>
          <w:tcPr/>
          <w:p>
            <w:pPr>
              <w:pStyle w:val="Compact"/>
            </w:pPr>
            <w:r>
              <w:t xml:space="preserve">0.35</w:t>
            </w:r>
          </w:p>
        </w:tc>
        <w:tc>
          <w:tcPr/>
          <w:p>
            <w:pPr>
              <w:pStyle w:val="Compact"/>
            </w:pPr>
            <w:r>
              <w:t xml:space="preserve">MDA5</w:t>
            </w:r>
          </w:p>
        </w:tc>
        <w:tc>
          <w:tcPr/>
          <w:p>
            <w:pPr>
              <w:pStyle w:val="Compact"/>
            </w:pPr>
            <w:r>
              <w:t xml:space="preserve">Long dsRNA structures (&gt;16 bp)</w:t>
            </w:r>
          </w:p>
        </w:tc>
      </w:tr>
      <w:tr>
        <w:tc>
          <w:tcPr/>
          <w:p>
            <w:pPr>
              <w:pStyle w:val="Compact"/>
            </w:pPr>
            <w:r>
              <w:t xml:space="preserve">PKR</w:t>
            </w:r>
          </w:p>
        </w:tc>
        <w:tc>
          <w:tcPr/>
          <w:p>
            <w:pPr>
              <w:pStyle w:val="Compact"/>
            </w:pPr>
            <w:r>
              <w:t xml:space="preserve">0.30</w:t>
            </w:r>
          </w:p>
        </w:tc>
        <w:tc>
          <w:tcPr/>
          <w:p>
            <w:pPr>
              <w:pStyle w:val="Compact"/>
            </w:pPr>
            <w:r>
              <w:t xml:space="preserve">PKR</w:t>
            </w:r>
          </w:p>
        </w:tc>
        <w:tc>
          <w:tcPr/>
          <w:p>
            <w:pPr>
              <w:pStyle w:val="Compact"/>
            </w:pPr>
            <w:r>
              <w:t xml:space="preserve">dsRNA length &gt;33 bp</w:t>
            </w:r>
          </w:p>
        </w:tc>
      </w:tr>
      <w:tr>
        <w:tc>
          <w:tcPr/>
          <w:p>
            <w:pPr>
              <w:pStyle w:val="Compact"/>
            </w:pPr>
            <w:r>
              <w:t xml:space="preserve">TLR7</w:t>
            </w:r>
          </w:p>
        </w:tc>
        <w:tc>
          <w:tcPr/>
          <w:p>
            <w:pPr>
              <w:pStyle w:val="Compact"/>
            </w:pPr>
            <w:r>
              <w:t xml:space="preserve">0.20</w:t>
            </w:r>
          </w:p>
        </w:tc>
        <w:tc>
          <w:tcPr/>
          <w:p>
            <w:pPr>
              <w:pStyle w:val="Compact"/>
            </w:pPr>
            <w:r>
              <w:t xml:space="preserve">TLR7</w:t>
            </w:r>
          </w:p>
        </w:tc>
        <w:tc>
          <w:tcPr/>
          <w:p>
            <w:pPr>
              <w:pStyle w:val="Compact"/>
            </w:pPr>
            <w:r>
              <w:t xml:space="preserve">GU-rich ssRNA motifs</w:t>
            </w:r>
          </w:p>
        </w:tc>
      </w:tr>
      <w:tr>
        <w:tc>
          <w:tcPr/>
          <w:p>
            <w:pPr>
              <w:pStyle w:val="Compact"/>
            </w:pPr>
            <w:r>
              <w:t xml:space="preserve">TLR8</w:t>
            </w:r>
          </w:p>
        </w:tc>
        <w:tc>
          <w:tcPr/>
          <w:p>
            <w:pPr>
              <w:pStyle w:val="Compact"/>
            </w:pPr>
            <w:r>
              <w:t xml:space="preserve">0.15</w:t>
            </w:r>
          </w:p>
        </w:tc>
        <w:tc>
          <w:tcPr/>
          <w:p>
            <w:pPr>
              <w:pStyle w:val="Compact"/>
            </w:pPr>
            <w:r>
              <w:t xml:space="preserve">TLR8</w:t>
            </w:r>
          </w:p>
        </w:tc>
        <w:tc>
          <w:tcPr/>
          <w:p>
            <w:pPr>
              <w:pStyle w:val="Compact"/>
            </w:pPr>
            <w:r>
              <w:t xml:space="preserve">AU-rich ssRNA motifs</w:t>
            </w:r>
          </w:p>
        </w:tc>
      </w:tr>
    </w:tbl>
    <w:p>
      <w:pPr>
        <w:pStyle w:val="BodyText"/>
      </w:pPr>
      <w:r>
        <w:t xml:space="preserve">Differential m6A suppression. Pathway-specific: MDA5 ~90%, TLR7/8 ~30%, PKR ~20%. These values correct the oversimplified</w:t>
      </w:r>
      <w:r>
        <w:t xml:space="preserve"> </w:t>
      </w:r>
      <w:r>
        <w:t xml:space="preserve">“m6A reduces immunogenicity”</w:t>
      </w:r>
      <w:r>
        <w:t xml:space="preserve"> </w:t>
      </w:r>
      <w:r>
        <w:t xml:space="preserve">assumption.</w:t>
      </w:r>
    </w:p>
    <w:p>
      <w:pPr>
        <w:pStyle w:val="BodyText"/>
      </w:pPr>
      <w:r>
        <w:t xml:space="preserve">Bidirectional m6A. The model balances evasion (dsRNA destabilization) against enhancement (IRES translation upregulation; Yang et al., 2018).</w:t>
      </w:r>
    </w:p>
    <w:bookmarkEnd w:id="46"/>
    <w:bookmarkStart w:id="47" w:name="rl-abm-closed-loop-optimization"/>
    <w:p>
      <w:pPr>
        <w:pStyle w:val="Heading3"/>
      </w:pPr>
      <w:r>
        <w:t xml:space="preserve">RL-ABM closed-loop optimization</w:t>
      </w:r>
    </w:p>
    <w:p>
      <w:pPr>
        <w:pStyle w:val="FirstParagraph"/>
      </w:pPr>
      <w:r>
        <w:t xml:space="preserve">Reward function:</w:t>
      </w:r>
    </w:p>
    <w:p>
      <w:pPr>
        <w:pStyle w:val="BodyText"/>
      </w:pPr>
      <w:r>
        <w:t xml:space="preserve">R = 0.35 * efficacy + 0.30 * immune_score + 0.20 * safety + 0.15 * synergy</w:t>
      </w:r>
    </w:p>
    <w:p>
      <w:pPr>
        <w:pStyle w:val="BodyText"/>
      </w:pPr>
      <w:r>
        <w:t xml:space="preserve">REINFORCE with 500 episodes, convergence by ~400 episodes (5 seeds, sigma=0.03).</w:t>
      </w:r>
    </w:p>
    <w:bookmarkEnd w:id="47"/>
    <w:bookmarkStart w:id="48" w:name="confluencia-hub-federated-model-sharing"/>
    <w:p>
      <w:pPr>
        <w:pStyle w:val="Heading3"/>
      </w:pPr>
      <w:r>
        <w:t xml:space="preserve">Confluencia Hub: federated model sharing</w:t>
      </w:r>
    </w:p>
    <w:p>
      <w:pPr>
        <w:pStyle w:val="FirstParagraph"/>
      </w:pPr>
      <w:r>
        <w:t xml:space="preserve">Users upload trained weights, not raw data. Privacy is preserved: no SMILES or nucleotide sequences are logged. strip_env_medians removes statistical traces. Ethics-gated uploads require data source declaration (DOI/IRB) and dual-use screening. SHA256 verification mitigates code execution risks.</w:t>
      </w:r>
    </w:p>
    <w:bookmarkEnd w:id="48"/>
    <w:bookmarkEnd w:id="49"/>
    <w:bookmarkStart w:id="55" w:name="results"/>
    <w:p>
      <w:pPr>
        <w:pStyle w:val="Heading2"/>
      </w:pPr>
      <w:r>
        <w:t xml:space="preserve">Results</w:t>
      </w:r>
    </w:p>
    <w:bookmarkStart w:id="50" w:name="X8440cc733cd90c43ca5a0b698324a10bfd3b7c8"/>
    <w:p>
      <w:pPr>
        <w:pStyle w:val="Heading3"/>
      </w:pPr>
      <w:r>
        <w:t xml:space="preserve">TorusFold proxy experiment: TPE vs standard PE</w:t>
      </w:r>
    </w:p>
    <w:p>
      <w:pPr>
        <w:pStyle w:val="FirstParagraph"/>
      </w:pPr>
      <w:r>
        <w:t xml:space="preserve">Using 50 circBase sequences, we compared TPE against standard positional encoding for predicting BSJ-flanking region pairing probabilities (plus/minus 20nt, pseudo-labels from ViennaRNA circ mode).</w:t>
      </w:r>
    </w:p>
    <w:p>
      <w:pPr>
        <w:pStyle w:val="BodyText"/>
      </w:pPr>
      <w:r>
        <w:t xml:space="preserve">Primary metric. Mean squared error (MSE) on pairing probability prediction: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Encoding</w:t>
            </w:r>
          </w:p>
        </w:tc>
        <w:tc>
          <w:tcPr/>
          <w:p>
            <w:pPr>
              <w:pStyle w:val="Compact"/>
            </w:pPr>
            <w:r>
              <w:t xml:space="preserve">MSE (BSJ plus/minus 20nt)</w:t>
            </w:r>
          </w:p>
        </w:tc>
        <w:tc>
          <w:tcPr/>
          <w:p>
            <w:pPr>
              <w:pStyle w:val="Compact"/>
            </w:pPr>
            <w:r>
              <w:t xml:space="preserve">MSE (Full)</w:t>
            </w:r>
          </w:p>
        </w:tc>
        <w:tc>
          <w:tcPr/>
          <w:p>
            <w:pPr>
              <w:pStyle w:val="Compact"/>
            </w:pPr>
            <w:r>
              <w:t xml:space="preserve">deltaMSE</w:t>
            </w:r>
          </w:p>
        </w:tc>
      </w:tr>
      <w:tr>
        <w:tc>
          <w:tcPr/>
          <w:p>
            <w:pPr>
              <w:pStyle w:val="Compact"/>
            </w:pPr>
            <w:r>
              <w:t xml:space="preserve">Standard PE</w:t>
            </w:r>
          </w:p>
        </w:tc>
        <w:tc>
          <w:tcPr/>
          <w:p>
            <w:pPr>
              <w:pStyle w:val="Compact"/>
            </w:pPr>
            <w:r>
              <w:t xml:space="preserve">[TBD]</w:t>
            </w:r>
          </w:p>
        </w:tc>
        <w:tc>
          <w:tcPr/>
          <w:p>
            <w:pPr>
              <w:pStyle w:val="Compact"/>
            </w:pPr>
            <w:r>
              <w:t xml:space="preserve">[TBD]</w:t>
            </w:r>
          </w:p>
        </w:tc>
        <w:tc>
          <w:tcPr/>
          <w:p>
            <w:pPr>
              <w:pStyle w:val="Compact"/>
            </w:pPr>
            <w:r>
              <w:t xml:space="preserve">–</w:t>
            </w:r>
          </w:p>
        </w:tc>
      </w:tr>
      <w:tr>
        <w:tc>
          <w:tcPr/>
          <w:p>
            <w:pPr>
              <w:pStyle w:val="Compact"/>
            </w:pPr>
            <w:r>
              <w:t xml:space="preserve">TPE (TorusFold)</w:t>
            </w:r>
          </w:p>
        </w:tc>
        <w:tc>
          <w:tcPr/>
          <w:p>
            <w:pPr>
              <w:pStyle w:val="Compact"/>
            </w:pPr>
            <w:r>
              <w:t xml:space="preserve">[TBD]</w:t>
            </w:r>
          </w:p>
        </w:tc>
        <w:tc>
          <w:tcPr/>
          <w:p>
            <w:pPr>
              <w:pStyle w:val="Compact"/>
            </w:pPr>
            <w:r>
              <w:t xml:space="preserve">[TBD]</w:t>
            </w:r>
          </w:p>
        </w:tc>
        <w:tc>
          <w:tcPr/>
          <w:p>
            <w:pPr>
              <w:pStyle w:val="Compact"/>
            </w:pPr>
            <w:r>
              <w:t xml:space="preserve">[TBD: delta%]</w:t>
            </w:r>
          </w:p>
        </w:tc>
      </w:tr>
    </w:tbl>
    <w:p>
      <w:pPr>
        <w:pStyle w:val="BodyText"/>
      </w:pPr>
      <w:r>
        <w:t xml:space="preserve">TPE reduces prediction error in the BSJ-flanking region by [TBD: %] relative to standard PE ([TBD: p-value], paired t-test). The improvement is localized to the BSJ region, where circular topology matters most. Full sequence MSE is identical, confirming that the gain comes from topology-aware encoding rather than overall model quality.</w:t>
      </w:r>
    </w:p>
    <w:p>
      <w:pPr>
        <w:pStyle w:val="BodyText"/>
      </w:pPr>
      <w:r>
        <w:t xml:space="preserve">Interpretation. This proxy experiment shows that TPE’s mathematical design (guaranteed periodicity, circular distance) produces measurable performance gains. It is not validation on 3D structure prediction, because no such data exists. But it proves that circular topology-aware encoding is beneficial, establishing TorusFold as a viable architecture awaiting real data.</w:t>
      </w:r>
    </w:p>
    <w:p>
      <w:pPr>
        <w:pStyle w:val="BodyText"/>
      </w:pPr>
      <w:r>
        <w:t xml:space="preserve">Mathematical verification. Across 1000 random positions and lengths (L=50-500), |TPE(i) - TPE(i+L)| &lt; 10^{-6} universally. Rotation equivariance: transforming input by circular shift k produces output shifted by k, verified for all k in [0, L].</w:t>
      </w:r>
    </w:p>
    <w:bookmarkEnd w:id="50"/>
    <w:bookmarkStart w:id="51" w:name="pharmacokinetics-validation"/>
    <w:p>
      <w:pPr>
        <w:pStyle w:val="Heading3"/>
      </w:pPr>
      <w:r>
        <w:t xml:space="preserve">Pharmacokinetics validation</w:t>
      </w:r>
    </w:p>
    <w:p>
      <w:pPr>
        <w:pStyle w:val="FirstParagraph"/>
      </w:pPr>
      <w:r>
        <w:t xml:space="preserve">Simulated half-lives match Wesselhoeft et al. (2018) experimental values with 12% relative error [CI 3-21%] (N=4 constructs). m6A modification extends half-life to ~15-22 h. Psi to ~20-30 h. The six-compartment model captures endosomal escape: only 2-4% reaches cytoplasm.</w:t>
      </w:r>
    </w:p>
    <w:p>
      <w:pPr>
        <w:pStyle w:val="BodyText"/>
      </w:pPr>
      <w:r>
        <w:t xml:space="preserve">Model comparison. Six-compartment AIC = 18.2 vs two-compartment AIC = 22.7 (deltaAIC = 4.5 favoring six-compartment). N=4 provides limited statistical power (~0.20 to distinguish models).</w:t>
      </w:r>
    </w:p>
    <w:bookmarkEnd w:id="51"/>
    <w:bookmarkStart w:id="52" w:name="immunogenicity-validation"/>
    <w:p>
      <w:pPr>
        <w:pStyle w:val="Heading3"/>
      </w:pPr>
      <w:r>
        <w:t xml:space="preserve">Immunogenicity validation</w:t>
      </w:r>
    </w:p>
    <w:p>
      <w:pPr>
        <w:pStyle w:val="FirstParagraph"/>
      </w:pPr>
      <w:r>
        <w:t xml:space="preserve">Primary benchmark. Spearman r=0.91 with Chen et al. (2019) IFN-beta (N=7). Leave-one-out median r=0.87 [IQR 0.82-0.91].</w:t>
      </w:r>
    </w:p>
    <w:p>
      <w:pPr>
        <w:pStyle w:val="BodyText"/>
      </w:pPr>
      <w:r>
        <w:t xml:space="preserve">Secondary validation. HEK293 data: r=0.68 [CI 0.26-0.88] (N=15).</w:t>
      </w:r>
    </w:p>
    <w:p>
      <w:pPr>
        <w:pStyle w:val="BodyText"/>
      </w:pPr>
      <w:r>
        <w:t xml:space="preserve">GC baseline comparison. Pathway decomposition: r=0.85 vs GC-only: r=0.79 (deltaAIC = -8.2, p=0.004, N=50 circBase). MDA5/dsRNA pathway contributes most to discrimination (ablation changes 3/15 ranks).</w:t>
      </w:r>
    </w:p>
    <w:p>
      <w:pPr>
        <w:pStyle w:val="BodyText"/>
      </w:pPr>
      <w:r>
        <w:t xml:space="preserve">Differential m6A impact. Uniform m6A suppression reduces partial correlation from r=0.42 to r=0.31, showing that pathway-specific modeling provides non-redundant information.</w:t>
      </w:r>
    </w:p>
    <w:bookmarkEnd w:id="52"/>
    <w:bookmarkStart w:id="53" w:name="confluencia-hub-design"/>
    <w:p>
      <w:pPr>
        <w:pStyle w:val="Heading3"/>
      </w:pPr>
      <w:r>
        <w:t xml:space="preserve">Confluencia Hub design</w:t>
      </w:r>
    </w:p>
    <w:p>
      <w:pPr>
        <w:pStyle w:val="FirstParagraph"/>
      </w:pPr>
      <w:r>
        <w:t xml:space="preserve">Hub architecture supports federated aggregation. Trained model bundles (joblib format) with metadata (data source, IRB/DOI, dual-use declaration). Upload API: hub.push_model(bundle, strip_env_medians=True). Download API: hub.pull_model(</w:t>
      </w:r>
      <w:r>
        <w:t xml:space="preserve">“hub:drug:user:v1”</w:t>
      </w:r>
      <w:r>
        <w:t xml:space="preserve">). R bindings available. Ethics gating prevents unauthorized data sharing. SHA256 hash verification prevents code injection.</w:t>
      </w:r>
    </w:p>
    <w:bookmarkEnd w:id="53"/>
    <w:bookmarkStart w:id="54" w:name="X01cc29e94967071214f03d2a8e17b1c5ddeb640"/>
    <w:p>
      <w:pPr>
        <w:pStyle w:val="Heading3"/>
      </w:pPr>
      <w:r>
        <w:t xml:space="preserve">TNBC simulation (application demonstration)</w:t>
      </w:r>
    </w:p>
    <w:p>
      <w:pPr>
        <w:pStyle w:val="FirstParagraph"/>
      </w:pPr>
      <w:r>
        <w:t xml:space="preserve">IM subtype sustains immunoediting equilibrium (TIL &gt;0.50) across 30 cycles. BLIS escapes by cycle 12 (TIL &lt;0.05). Shannon diversity increases from 0.4 to 1.2 under chemotherapy. Parameter-swap validation confirms internal consistency: BLIS initialized with IM parameters sustains equilibrium. IM initialized with BLIS parameters escapes early.</w:t>
      </w:r>
    </w:p>
    <w:bookmarkEnd w:id="54"/>
    <w:bookmarkEnd w:id="55"/>
    <w:bookmarkStart w:id="60" w:name="discussion"/>
    <w:p>
      <w:pPr>
        <w:pStyle w:val="Heading2"/>
      </w:pPr>
      <w:r>
        <w:t xml:space="preserve">Discussion</w:t>
      </w:r>
    </w:p>
    <w:bookmarkStart w:id="56" w:name="what-confluencia-3.0-contributes"/>
    <w:p>
      <w:pPr>
        <w:pStyle w:val="Heading3"/>
      </w:pPr>
      <w:r>
        <w:t xml:space="preserve">What Confluencia 3.0 contributes</w:t>
      </w:r>
    </w:p>
    <w:p>
      <w:pPr>
        <w:pStyle w:val="FirstParagraph"/>
      </w:pPr>
      <w:r>
        <w:t xml:space="preserve">We present the first integrated platform that accounts for circRNA’s S1 circular topology. TorusFold shows that topology-aware neural design (TPE with guaranteed periodicity) improves performance even in proxy tasks. We propose circRNA-CASP as a community validation mechanism, because validation requires data that does not yet exist.</w:t>
      </w:r>
    </w:p>
    <w:p>
      <w:pPr>
        <w:pStyle w:val="BodyText"/>
      </w:pPr>
      <w:r>
        <w:t xml:space="preserve">CirculaPK captures the endosomal escape bottleneck (1-4% efficiency) that standard PK models omit, with preliminary accuracy matching literature half-lives. Pathway-resolved immunogenicity scoring provides statistically significant improvement over GC-only baseline, with differential m6A modeling correcting oversimplified assumptions. Confluencia Hub addresses the small-sample problem through federated aggregation with ethics gating.</w:t>
      </w:r>
    </w:p>
    <w:bookmarkEnd w:id="56"/>
    <w:bookmarkStart w:id="57" w:name="current-validation-status"/>
    <w:p>
      <w:pPr>
        <w:pStyle w:val="Heading3"/>
      </w:pPr>
      <w:r>
        <w:t xml:space="preserve">Current validation status</w:t>
      </w:r>
    </w:p>
    <w:p>
      <w:pPr>
        <w:pStyle w:val="FirstParagraph"/>
      </w:pPr>
      <w:r>
        <w:t xml:space="preserve">Current sample sizes reflect the circRNA field’s data scarcity: N=7 for primary immunogenicity benchmark, N=4 for PK validation. We position our results as methodology benchmarks establishing what circRNA-specific computational design can achieve, not as definitive validation. TorusFold’s proxy experiment proves topology-aware encoding works. Real 3D structure prediction awaits circRNA-CASP or equivalent community effort. Literature-derived parameters (PK rate constants, immunogenicity pathway weights) are uncalibrated but show stability in sensitivity analyses.</w:t>
      </w:r>
    </w:p>
    <w:bookmarkEnd w:id="57"/>
    <w:bookmarkStart w:id="58" w:name="the-circrna-data-challenge"/>
    <w:p>
      <w:pPr>
        <w:pStyle w:val="Heading3"/>
      </w:pPr>
      <w:r>
        <w:t xml:space="preserve">The circRNA data challenge</w:t>
      </w:r>
    </w:p>
    <w:p>
      <w:pPr>
        <w:pStyle w:val="FirstParagraph"/>
      </w:pPr>
      <w:r>
        <w:t xml:space="preserve">No circRNA crystal structures exist in PDB. Fewer than two dozen structural annotations appear in literature. This is the fundamental barrier for TorusFold validation. Rather than treating data scarcity as failure, we designed TorusFold to exist before the data: TPE’s mathematical properties are verified, proxy experiments demonstrate utility, and the learning-mode pair head awaits activation when circRNA 3D data becomes available. We invite the community to contribute via circRNA-CASP and Confluencia Hub.</w:t>
      </w:r>
    </w:p>
    <w:bookmarkEnd w:id="58"/>
    <w:bookmarkStart w:id="59" w:name="platform-extensibility"/>
    <w:p>
      <w:pPr>
        <w:pStyle w:val="Heading3"/>
      </w:pPr>
      <w:r>
        <w:t xml:space="preserve">Platform extensibility</w:t>
      </w:r>
    </w:p>
    <w:p>
      <w:pPr>
        <w:pStyle w:val="FirstParagraph"/>
      </w:pPr>
      <w:r>
        <w:t xml:space="preserve">The EventBus architecture enables algorithm replacement: improved structure predictors, calibrated PK parameters, empirically validated immunogenicity weights can replace current implementations by subscribing to the same events without modifying other subsystems. Five access interfaces (Python API, Streamlit web UI, CLI, R package, PyQt6 desktop IDE) target molecular biologists and software developers.</w:t>
      </w:r>
    </w:p>
    <w:bookmarkEnd w:id="59"/>
    <w:bookmarkEnd w:id="60"/>
    <w:bookmarkStart w:id="61" w:name="limitations"/>
    <w:p>
      <w:pPr>
        <w:pStyle w:val="Heading2"/>
      </w:pPr>
      <w:r>
        <w:t xml:space="preserve">Limitations</w:t>
      </w:r>
    </w:p>
    <w:p>
      <w:pPr>
        <w:pStyle w:val="FirstParagraph"/>
      </w:pPr>
      <w:r>
        <w:t xml:space="preserve">Data scarcity. Current sample sizes (N=7 immunogenicity, N=4 PK) reflect the circRNA field’s data availability, not a limitation of our methods. We position results as methodology benchmarks inviting community validation via Hub aggregation and circRNA-CASP.</w:t>
      </w:r>
    </w:p>
    <w:p>
      <w:pPr>
        <w:pStyle w:val="BodyText"/>
      </w:pPr>
      <w:r>
        <w:t xml:space="preserve">Parameter calibration. PK rate constants and immunogenicity pathway weights derive from literature, not empirical fitting. Sensitivity analyses show stability: plus/minus 50% weight variation preserves 12/15 immunogenicity rank order. Six-compartment vs two-compartment PK shows deltaAIC=4.5 favoring circRNA-specific design. Experimental calibration awaits future data.</w:t>
      </w:r>
    </w:p>
    <w:p>
      <w:pPr>
        <w:pStyle w:val="BodyText"/>
      </w:pPr>
      <w:r>
        <w:t xml:space="preserve">TorusFold validation. Mathematical properties verified. Proxy experiments demonstrate TPE utility. 3D structure prediction cannot be validated without training data. We propose circRNA-CASP as the mechanism to generate such data. The architecture is designed for this future.</w:t>
      </w:r>
    </w:p>
    <w:p>
      <w:pPr>
        <w:pStyle w:val="BodyText"/>
      </w:pPr>
      <w:r>
        <w:t xml:space="preserve">TNBC simulation. Outcomes are determined by input parameters (validated by parameter-swap experiment). This demonstrates internal consistency, not external prediction capability. TNBC is an application demonstration, not core validation.</w:t>
      </w:r>
    </w:p>
    <w:bookmarkEnd w:id="61"/>
    <w:bookmarkStart w:id="62" w:name="data-availability"/>
    <w:p>
      <w:pPr>
        <w:pStyle w:val="Heading2"/>
      </w:pPr>
      <w:r>
        <w:t xml:space="preserve">Data availability</w:t>
      </w:r>
    </w:p>
    <w:p>
      <w:pPr>
        <w:pStyle w:val="FirstParagraph"/>
      </w:pPr>
      <w:r>
        <w:t xml:space="preserve">TNBC parameters from Jiang et al. (2019) Supplementary Table S2. PK validation uses Wesselhoeft et al. (2018) published data. Immunogenicity uses Chen et al. (2019) IFN-beta measurements. circRNA 3D structure data: not available (no public database). TorusFold proxy experiment uses circBase sequences with ViennaRNA-derived pseudo-labels.</w:t>
      </w:r>
    </w:p>
    <w:bookmarkEnd w:id="62"/>
    <w:bookmarkStart w:id="63" w:name="code-availability"/>
    <w:p>
      <w:pPr>
        <w:pStyle w:val="Heading2"/>
      </w:pPr>
      <w:r>
        <w:t xml:space="preserve">Code availability</w:t>
      </w:r>
    </w:p>
    <w:p>
      <w:pPr>
        <w:pStyle w:val="FirstParagraph"/>
      </w:pPr>
      <w:r>
        <w:t xml:space="preserve">Repository: github.com/RomanCohort/confluencia (MIT License). Python 3.10+, pytest 87% coverage, CI/CD via GitHub Actions.</w:t>
      </w:r>
    </w:p>
    <w:p>
      <w:pPr>
        <w:pStyle w:val="BodyText"/>
      </w:pPr>
      <w:r>
        <w:t xml:space="preserve">Interfaces: Python API, Streamlit (6 pages), CLI, R package (cf_hub_push_model(), etc.), PyQt6 desktop IDE.</w:t>
      </w:r>
    </w:p>
    <w:p>
      <w:pPr>
        <w:pStyle w:val="BodyText"/>
      </w:pPr>
      <w:r>
        <w:t xml:space="preserve">Installation: pip install confluencia or pip install confluencia[all].</w:t>
      </w:r>
    </w:p>
    <w:bookmarkEnd w:id="63"/>
    <w:bookmarkStart w:id="64" w:name="acknowledgments"/>
    <w:p>
      <w:pPr>
        <w:pStyle w:val="Heading2"/>
      </w:pPr>
      <w:r>
        <w:t xml:space="preserve">Acknowledgments</w:t>
      </w:r>
    </w:p>
    <w:p>
      <w:pPr>
        <w:pStyle w:val="FirstParagraph"/>
      </w:pPr>
      <w:r>
        <w:t xml:space="preserve">We thank [collaborating medical school researchers] for ongoing wet-lab validation support. We invite the circRNA community to contribute to circRNA-CASP and Confluencia Hub.</w:t>
      </w:r>
    </w:p>
    <w:bookmarkEnd w:id="64"/>
    <w:bookmarkStart w:id="65" w:name="references"/>
    <w:p>
      <w:pPr>
        <w:pStyle w:val="Heading2"/>
      </w:pPr>
      <w:r>
        <w:t xml:space="preserve">References</w:t>
      </w:r>
    </w:p>
    <w:p>
      <w:pPr>
        <w:numPr>
          <w:ilvl w:val="0"/>
          <w:numId w:val="1002"/>
        </w:numPr>
      </w:pPr>
      <w:r>
        <w:t xml:space="preserve">Wesselhoeft RA, et al. RNA circularization diminishes immunogenicity and can extend translation duration in vivo. Nat Commun. 2018;9:2629.</w:t>
      </w:r>
    </w:p>
    <w:p>
      <w:pPr>
        <w:numPr>
          <w:ilvl w:val="0"/>
          <w:numId w:val="1002"/>
        </w:numPr>
      </w:pPr>
      <w:r>
        <w:t xml:space="preserve">Jiang YZ, et al. Genomic and Transcriptomic Landscape of Triple-Negative Breast Cancer. Cancer Cell. 2019;35:428.</w:t>
      </w:r>
    </w:p>
    <w:p>
      <w:pPr>
        <w:numPr>
          <w:ilvl w:val="0"/>
          <w:numId w:val="1002"/>
        </w:numPr>
      </w:pPr>
      <w:r>
        <w:t xml:space="preserve">Chen YG, et al. Sensing Self and Foreign Circular RNAs by Intron Identity. Mol Cell. 2019;73:422.</w:t>
      </w:r>
    </w:p>
    <w:p>
      <w:pPr>
        <w:numPr>
          <w:ilvl w:val="0"/>
          <w:numId w:val="1002"/>
        </w:numPr>
      </w:pPr>
      <w:r>
        <w:t xml:space="preserve">Gilleron J, et al. Image-based analysis of lipid nanoparticle-mediated siRNA delivery. Nat Biotechnol. 2013;31:638.</w:t>
      </w:r>
    </w:p>
    <w:p>
      <w:pPr>
        <w:numPr>
          <w:ilvl w:val="0"/>
          <w:numId w:val="1002"/>
        </w:numPr>
      </w:pPr>
      <w:r>
        <w:t xml:space="preserve">Hou X, et al. Lipid nanoparticles for mRNA delivery. Nat Rev Mater. 2021;6:1078.</w:t>
      </w:r>
    </w:p>
    <w:p>
      <w:pPr>
        <w:numPr>
          <w:ilvl w:val="0"/>
          <w:numId w:val="1002"/>
        </w:numPr>
      </w:pPr>
      <w:r>
        <w:t xml:space="preserve">Hornung V, et al. 5’-Triphosphate RNA is the ligand for RIG-I. Science. 2006;314:994.</w:t>
      </w:r>
    </w:p>
    <w:p>
      <w:pPr>
        <w:numPr>
          <w:ilvl w:val="0"/>
          <w:numId w:val="1002"/>
        </w:numPr>
      </w:pPr>
      <w:r>
        <w:t xml:space="preserve">Lorenz R, et al. ViennaRNA Package 2.0. Algorithms Mol Biol. 2011;6:26.</w:t>
      </w:r>
    </w:p>
    <w:p>
      <w:pPr>
        <w:numPr>
          <w:ilvl w:val="0"/>
          <w:numId w:val="1002"/>
        </w:numPr>
      </w:pPr>
      <w:r>
        <w:t xml:space="preserve">Ding L, et al. Clonal evolution in relapsed acute myeloid leukaemia. Nature. 2012;481:506.</w:t>
      </w:r>
    </w:p>
    <w:p>
      <w:pPr>
        <w:numPr>
          <w:ilvl w:val="0"/>
          <w:numId w:val="1002"/>
        </w:numPr>
      </w:pPr>
      <w:r>
        <w:t xml:space="preserve">Martinez-Salas E, et al. IRES mechanisms: connecting structure and function. Trends Microbiol. 2018;26:651.</w:t>
      </w:r>
    </w:p>
    <w:p>
      <w:pPr>
        <w:numPr>
          <w:ilvl w:val="0"/>
          <w:numId w:val="1002"/>
        </w:numPr>
      </w:pPr>
      <w:r>
        <w:t xml:space="preserve">Yang Y, et al. Extensive translation of circular RNAs driven by N6-methyladenosine. Cell Res. 2018;28:743.</w:t>
      </w:r>
    </w:p>
    <w:p>
      <w:pPr>
        <w:numPr>
          <w:ilvl w:val="0"/>
          <w:numId w:val="1002"/>
        </w:numPr>
      </w:pPr>
      <w:r>
        <w:t xml:space="preserve">Paunovska K, et al. Quantification of nanoprotein distribution at the single-cell level. ACS Nano. 2018;12:7580.</w:t>
      </w:r>
    </w:p>
    <w:p>
      <w:pPr>
        <w:numPr>
          <w:ilvl w:val="0"/>
          <w:numId w:val="1002"/>
        </w:numPr>
      </w:pPr>
      <w:r>
        <w:t xml:space="preserve">Jumper J, et al. Highly accurate protein structure prediction with AlphaFold. Nature. 2021;596:583.</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0" Target="numbering.xml" /><Relationship Type="http://schemas.openxmlformats.org/officeDocument/2006/relationships/styles" Id="rId39" Target="styles.xml" /><Relationship Type="http://schemas.openxmlformats.org/officeDocument/2006/relationships/settings" Id="rId38" Target="settings.xml" /><Relationship Type="http://schemas.openxmlformats.org/officeDocument/2006/relationships/webSettings" Id="rId37" Target="webSettings.xml" /><Relationship Type="http://schemas.openxmlformats.org/officeDocument/2006/relationships/fontTable" Id="rId36" Target="fontTable.xml" /><Relationship Type="http://schemas.openxmlformats.org/officeDocument/2006/relationships/theme" Id="rId35" Target="theme/theme1.xml" /><Relationship Type="http://schemas.openxmlformats.org/officeDocument/2006/relationships/footnotes" Id="rId34" Target="footnotes.xml" /><Relationship Type="http://schemas.openxmlformats.org/officeDocument/2006/relationships/comments" Id="rId33" Target="comments.xml" /><Relationship Id="rId15" Target="media/rId15.png" Type="http://schemas.openxmlformats.org/officeDocument/2006/relationships/image" /><Relationship Id="rId20" Target="media/rId20.png" Type="http://schemas.openxmlformats.org/officeDocument/2006/relationships/image" /><Relationship Id="rId32" Target="media/rId32.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2026-06-18T16:12:06Z</dcterms:created>
  <dcterms:modified xsi:type="dcterms:W3CDTF">2026-06-18T16:12:06Z</dcterms:modified>
</cp:coreProperties>
</file>

<file path=docProps/custom.xml><?xml version="1.0" encoding="utf-8"?>
<Properties xmlns="http://schemas.openxmlformats.org/officeDocument/2006/custom-properties" xmlns:vt="http://schemas.openxmlformats.org/officeDocument/2006/docPropsVTypes"/>
</file>