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df" ContentType="application/pdf"/>
  <Override PartName="/word/media/rId23.pdf" ContentType="application/pdf"/>
  <Override PartName="/word/media/rId3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Confluencia 3.0: Integrated circRNA Vaccine Design with TNBC Subtype Simulation</w:t>
      </w:r>
    </w:p>
    <w:p>
      <w:pPr>
        <w:pStyle w:val="Author"/>
      </w:pPr>
      <w:r>
        <w:t xml:space="preserve">Author Names</w:t>
      </w:r>
      <w:r>
        <w:rPr>
          <w:vertAlign w:val="superscript"/>
        </w:rPr>
        <w:t xml:space="preserve">1,*</w:t>
      </w:r>
      <w:r>
        <w:br/>
      </w:r>
      <w:r>
        <w:rPr>
          <w:vertAlign w:val="superscript"/>
        </w:rPr>
        <w:t xml:space="preserve">1</w:t>
      </w:r>
      <w:r>
        <w:t xml:space="preserve">Institution</w:t>
      </w:r>
      <w:r>
        <w:br/>
      </w:r>
      <w:r>
        <w:rPr>
          <w:vertAlign w:val="superscript"/>
        </w:rPr>
        <w:t xml:space="preserve">*</w:t>
      </w:r>
      <w:r>
        <w:t xml:space="preserve">Corresponding author</w:t>
      </w:r>
    </w:p>
    <w:p>
      <w:pPr>
        <w:pStyle w:val="FirstParagraph"/>
      </w:pPr>
      <w:r>
        <w:rPr>
          <w:b/>
          <w:bCs/>
        </w:rPr>
        <w:t xml:space="preserve">Running Title:</w:t>
      </w:r>
      <w:r>
        <w:t xml:space="preserve"> </w:t>
      </w:r>
      <w:r>
        <w:t xml:space="preserve">Confluencia circRNA-TNBC Platform</w:t>
      </w:r>
      <w:r>
        <w:br/>
      </w:r>
      <w:r>
        <w:rPr>
          <w:b/>
          <w:bCs/>
        </w:rPr>
        <w:t xml:space="preserve">Keywords:</w:t>
      </w:r>
      <w:r>
        <w:t xml:space="preserve"> </w:t>
      </w:r>
      <w:r>
        <w:t xml:space="preserve">circRNA, TNBC, simulation, immunogenicity, pharmacokinetics, deep learning, structure prediction, federated learning, data sharing</w:t>
      </w:r>
    </w:p>
    <w:bookmarkStart w:id="9" w:name="abstract"/>
    <w:p>
      <w:pPr>
        <w:pStyle w:val="Heading1"/>
      </w:pPr>
      <w:r>
        <w:t xml:space="preserve">Abstract</w:t>
      </w:r>
    </w:p>
    <w:p>
      <w:pPr>
        <w:pStyle w:val="FirstParagraph"/>
      </w:pPr>
      <w:r>
        <w:t xml:space="preserve">Confluencia 3.0 links circRNA vaccine design with TNBC subtype simulation through four modules: (1) TNBC Simulacrum with spatial TME simulation (nine immune cell types, six cytokines, three compartments, subclonal evolution), (2) CirculaPK six-compartment pharmacokinetics modeling circRNA-specific bottlenecks (1-4% endosomal escape), (3) circRNA innate immune sensing via MDA5/dsRNA, TLR7/8, and PKR with differential m6A suppression, and (4) RL-ABM sequence optimization. Benchmarks: immunogenicity correlates with Chen 2019 IFN-</w:t>
      </w:r>
      <m:oMath>
        <m:r>
          <m:t>β</m:t>
        </m:r>
      </m:oMath>
      <w:r>
        <w:t xml:space="preserve"> </w:t>
      </w:r>
      <w:r>
        <w:t xml:space="preserve">(Spearman</w:t>
      </w:r>
      <w:r>
        <w:t xml:space="preserve"> </w:t>
      </w:r>
      <m:oMath>
        <m:r>
          <m:t>r</m:t>
        </m:r>
        <m:r>
          <m:rPr>
            <m:sty m:val="p"/>
          </m:rPr>
          <m:t>=</m:t>
        </m:r>
        <m:r>
          <m:t>0.91</m:t>
        </m:r>
      </m:oMath>
      <w:r>
        <w:t xml:space="preserve">,</w:t>
      </w:r>
      <w:r>
        <w:t xml:space="preserve"> </w:t>
      </w:r>
      <m:oMath>
        <m:r>
          <m:t>N</m:t>
        </m:r>
        <m:r>
          <m:rPr>
            <m:sty m:val="p"/>
          </m:rPr>
          <m:t>=</m:t>
        </m:r>
        <m:r>
          <m:t>7</m:t>
        </m:r>
      </m:oMath>
      <w:r>
        <w:t xml:space="preserve">; HEK293</w:t>
      </w:r>
      <w:r>
        <w:t xml:space="preserve"> </w:t>
      </w:r>
      <m:oMath>
        <m:r>
          <m:t>N</m:t>
        </m:r>
        <m:r>
          <m:rPr>
            <m:sty m:val="p"/>
          </m:rPr>
          <m:t>=</m:t>
        </m:r>
        <m:r>
          <m:t>15</m:t>
        </m:r>
      </m:oMath>
      <w:r>
        <w:t xml:space="preserve"> </w:t>
      </w:r>
      <m:oMath>
        <m:r>
          <m:t>r</m:t>
        </m:r>
        <m:r>
          <m:rPr>
            <m:sty m:val="p"/>
          </m:rPr>
          <m:t>=</m:t>
        </m:r>
        <m:r>
          <m:t>0.68</m:t>
        </m:r>
      </m:oMath>
      <w:r>
        <w:t xml:space="preserve"> </w:t>
      </w:r>
      <w:r>
        <w:t xml:space="preserve">[0.26-0.88]); PK matches Wesselhoeft 2018 half-lives (12% error [CI 3-21%],</w:t>
      </w:r>
      <w:r>
        <w:t xml:space="preserve"> </w:t>
      </w:r>
      <m:oMath>
        <m:r>
          <m:t>N</m:t>
        </m:r>
        <m:r>
          <m:rPr>
            <m:sty m:val="p"/>
          </m:rPr>
          <m:t>=</m:t>
        </m:r>
        <m:r>
          <m:t>4</m:t>
        </m:r>
      </m:oMath>
      <w:r>
        <w:t xml:space="preserve">). Sample sizes are small. We propose TorusFold, an architecture for circRNA 3D structure prediction that handles</w:t>
      </w:r>
      <w:r>
        <w:t xml:space="preserve"> </w:t>
      </w:r>
      <m:oMath>
        <m:sSup>
          <m:e>
            <m:r>
              <m:t>S</m:t>
            </m:r>
          </m:e>
          <m:sup>
            <m:r>
              <m:t>1</m:t>
            </m:r>
          </m:sup>
        </m:sSup>
      </m:oMath>
      <w:r>
        <w:t xml:space="preserve"> </w:t>
      </w:r>
      <w:r>
        <w:t xml:space="preserve">topology through Torus Positional Encoding with guaranteed periodicity, circular distance, and rotation-equivariant CircPairformer. The pair prediction head is non-functional without training data. Wet-lab validation ongoing. Code: github.com/RomanCohort/confluencia (MIT). Confluencia Hub supports federated model sharing.</w:t>
      </w:r>
    </w:p>
    <w:bookmarkEnd w:id="9"/>
    <w:bookmarkStart w:id="14" w:name="introduction"/>
    <w:p>
      <w:pPr>
        <w:pStyle w:val="Heading1"/>
      </w:pPr>
      <w:r>
        <w:t xml:space="preserve">Introduction</w:t>
      </w:r>
    </w:p>
    <w:bookmarkStart w:id="10" w:name="the-circrna-vaccine-opportunity"/>
    <w:p>
      <w:pPr>
        <w:pStyle w:val="Heading2"/>
      </w:pPr>
      <w:r>
        <w:t xml:space="preserve">The circRNA Vaccine Opportunity</w:t>
      </w:r>
    </w:p>
    <w:p>
      <w:pPr>
        <w:pStyle w:val="FirstParagraph"/>
      </w:pPr>
      <w:r>
        <w:t xml:space="preserve">Circular RNA (circRNA) is more stable than linear mRNA for vaccine cargo. Wesselhoeft et al.</w:t>
      </w:r>
      <w:r>
        <w:t xml:space="preserve"> </w:t>
      </w:r>
      <w:r>
        <w:t xml:space="preserve"> </w:t>
      </w:r>
      <w:r>
        <w:t xml:space="preserve">measured circRNA half-lives of 8-24 hours versus linear mRNA’s 2-4 hours, with sustained protein expression over multiple days. The back-splice junction (BSJ) links the 3’ and 5’ ends, blocking exonuclease degradation. This stability means reduced dosing frequency and lower manufacturing costs.</w:t>
      </w:r>
    </w:p>
    <w:p>
      <w:pPr>
        <w:pStyle w:val="BodyText"/>
      </w:pPr>
      <w:r>
        <w:t xml:space="preserve">Triple-negative breast cancer (TNBC) has four molecular subtypes (BLIS, BLIA, IM, LAR) with distinct immune microenvironments</w:t>
      </w:r>
      <w:r>
        <w:t xml:space="preserve"> </w:t>
      </w:r>
      <w:r>
        <w:t xml:space="preserve">. IM (Immunomodulatory) tumors have high TIL density (0.50-0.70), PD-L1 expression (0.40-0.60), and respond to checkpoint inhibitors. BLIS (Basal-like Immune Suppressed) has the worst prognosis with TIL</w:t>
      </w:r>
      <w:r>
        <w:t xml:space="preserve"> </w:t>
      </w:r>
      <m:oMath>
        <m:r>
          <m:rPr>
            <m:sty m:val="p"/>
          </m:rPr>
          <m:t>&lt;</m:t>
        </m:r>
        <m:r>
          <m:t>0.15</m:t>
        </m:r>
      </m:oMath>
      <w:r>
        <w:t xml:space="preserve"> </w:t>
      </w:r>
      <w:r>
        <w:t xml:space="preserve">and early immune escape. Vaccine design should adapt to subtype rather than treat all TNBC uniformly.</w:t>
      </w:r>
    </w:p>
    <w:bookmarkEnd w:id="10"/>
    <w:bookmarkStart w:id="11" w:name="the-computational-gap"/>
    <w:p>
      <w:pPr>
        <w:pStyle w:val="Heading2"/>
      </w:pPr>
      <w:r>
        <w:t xml:space="preserve">The Computational Gap</w:t>
      </w:r>
    </w:p>
    <w:p>
      <w:pPr>
        <w:pStyle w:val="FirstParagraph"/>
      </w:pPr>
      <w:r>
        <w:t xml:space="preserve">No platform links circRNA design to TNBC subtype-specific simulation. Current tools work independently: ViennaRNA predicts secondary structure, PK-Sim models pharmacokinetics, PhysiCell simulates tumor dynamics. Integration is manual. circRNA-specific features are missing.</w:t>
      </w:r>
    </w:p>
    <w:p>
      <w:pPr>
        <w:pStyle w:val="BodyText"/>
      </w:pPr>
      <w:r>
        <w:t xml:space="preserve">Three gaps matter. circRNA pharmacokinetics differ from linear mRNA. LNP encapsulation creates tissue-specific biodistribution (liver 80%, spleen 10%). Endosomal escape is a bottleneck at 1-4% efficiency</w:t>
      </w:r>
      <w:r>
        <w:t xml:space="preserve"> </w:t>
      </w:r>
      <w:r>
        <w:t xml:space="preserve">. Over 96% of the therapeutic never reaches its destination. circRNA degradation uses exonuclease-resistant pathways. Standard PK models omit these. circRNA immune sensing also differs. circRNAs lack 5’ termini, so RIG-I 5’-ppp sensing does not apply</w:t>
      </w:r>
      <w:r>
        <w:t xml:space="preserve"> </w:t>
      </w:r>
      <w:r>
        <w:t xml:space="preserve">. Immunogenicity comes from dsRNA backbone structures sensed by MDA5</w:t>
      </w:r>
      <w:r>
        <w:t xml:space="preserve"> </w:t>
      </w:r>
      <w:r>
        <w:t xml:space="preserve"> </w:t>
      </w:r>
      <w:r>
        <w:t xml:space="preserve">and modulated by intron identity. Existing tools assume linear RNA sensing. Finally, no deep learning architecture handles circRNA’s</w:t>
      </w:r>
      <w:r>
        <w:t xml:space="preserve"> </w:t>
      </w:r>
      <m:oMath>
        <m:sSup>
          <m:e>
            <m:r>
              <m:t>S</m:t>
            </m:r>
          </m:e>
          <m:sup>
            <m:r>
              <m:t>1</m:t>
            </m:r>
          </m:sup>
        </m:sSup>
      </m:oMath>
      <w:r>
        <w:t xml:space="preserve"> </w:t>
      </w:r>
      <w:r>
        <w:t xml:space="preserve">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w:t>
      </w:r>
    </w:p>
    <w:p>
      <w:pPr>
        <w:pStyle w:val="BodyText"/>
      </w:pPr>
      <w:r>
        <w:t xml:space="preserve">Confluencia 3.0 addresses these gaps through an EventBus architecture: (1) TNBC Simulacrum with spatial TME simulation, (2) CirculaPK pharmacokinetics with circRNA-specific compartments, (3) circRNA immunogenicity scoring with pathway-resolved sensing, and (4) RL-ABM sequence evolution. We propose TorusFold for structure prediction.</w:t>
      </w:r>
    </w:p>
    <w:bookmarkEnd w:id="11"/>
    <w:bookmarkStart w:id="12" w:name="the-structure-prediction-challenge"/>
    <w:p>
      <w:pPr>
        <w:pStyle w:val="Heading2"/>
      </w:pPr>
      <w:r>
        <w:t xml:space="preserve">The Structure Prediction Challenge</w:t>
      </w:r>
    </w:p>
    <w:p>
      <w:pPr>
        <w:pStyle w:val="FirstParagraph"/>
      </w:pPr>
      <w:r>
        <w:t xml:space="preserve">Current circRNA structure prediction uses thermodynamic models (ViennaRNA circ mode) that handle circular topology through dynamic programming. But thermodynamic models do not support structure-informed downstream tasks like predicting BSJ-flanking region stability, estimating IRES accessibility in 3D context, or modeling ribosome binding site exposure.</w:t>
      </w:r>
    </w:p>
    <w:p>
      <w:pPr>
        <w:pStyle w:val="BodyText"/>
      </w:pPr>
      <w:r>
        <w:t xml:space="preserve">Deep learning approaches (AlphaFold, ESM) revolutionized protein structure prediction but are not designed for circRNA’s</w:t>
      </w:r>
      <w:r>
        <w:t xml:space="preserve"> </w:t>
      </w:r>
      <m:oMath>
        <m:sSup>
          <m:e>
            <m:r>
              <m:t>S</m:t>
            </m:r>
          </m:e>
          <m:sup>
            <m:r>
              <m:t>1</m:t>
            </m:r>
          </m:sup>
        </m:sSup>
      </m:oMath>
      <w:r>
        <w:t xml:space="preserve"> </w:t>
      </w:r>
      <w:r>
        <w:t xml:space="preserve">topology. Standard positional encoding</w:t>
      </w:r>
      <w:r>
        <w:t xml:space="preserve"> </w:t>
      </w:r>
      <m:oMath>
        <m:r>
          <m:t>P</m:t>
        </m:r>
        <m:r>
          <m:t>E</m:t>
        </m:r>
        <m:r>
          <m:rPr>
            <m:sty m:val="p"/>
          </m:rPr>
          <m:t>(</m:t>
        </m:r>
        <m:r>
          <m:t>i</m:t>
        </m:r>
        <m:r>
          <m:rPr>
            <m:sty m:val="p"/>
          </m:rPr>
          <m:t>)</m:t>
        </m:r>
        <m:r>
          <m:rPr>
            <m:sty m:val="p"/>
          </m:rPr>
          <m:t>≠</m:t>
        </m:r>
        <m:r>
          <m:t>P</m:t>
        </m:r>
        <m:r>
          <m:t>E</m:t>
        </m:r>
        <m:r>
          <m:rPr>
            <m:sty m:val="p"/>
          </m:rPr>
          <m:t>(</m:t>
        </m:r>
        <m:r>
          <m:t>i</m:t>
        </m:r>
        <m:r>
          <m:rPr>
            <m:sty m:val="p"/>
          </m:rPr>
          <m:t>+</m:t>
        </m:r>
        <m:r>
          <m:t>L</m:t>
        </m:r>
        <m:r>
          <m:rPr>
            <m:sty m:val="p"/>
          </m:rPr>
          <m:t>)</m:t>
        </m:r>
      </m:oMath>
      <w:r>
        <w:t xml:space="preserve"> </w:t>
      </w:r>
      <w:r>
        <w:t xml:space="preserve">for circRNA lengths, breaking periodicity at the BSJ. We propose TorusFold as an architecture that models circular topology natively. Validation awaits circRNA 3D structure data. We propose circRNA-CASP as a community benchmark, analogous to CASP for proteins.</w:t>
      </w:r>
    </w:p>
    <w:bookmarkEnd w:id="12"/>
    <w:bookmarkStart w:id="13" w:name="Xe87154d73caacf98b9fd08566b2547bb4558b24"/>
    <w:p>
      <w:pPr>
        <w:pStyle w:val="Heading2"/>
      </w:pPr>
      <w:r>
        <w:t xml:space="preserve">Accessibility, Extensibility, and Data Sharing</w:t>
      </w:r>
    </w:p>
    <w:p>
      <w:pPr>
        <w:pStyle w:val="FirstParagraph"/>
      </w:pPr>
      <w:r>
        <w:t xml:space="preserve">Most computational biology tools require programming, limiting use by experimental biologists. circRNA researchers are often molecular biologists, not software engineers. Confluencia 3.0 provides multiple interfaces: Python API, Streamlit web UI, CLI, R package, and PyQt6 desktop IDE with natural-language query.</w:t>
      </w:r>
    </w:p>
    <w:p>
      <w:pPr>
        <w:pStyle w:val="BodyText"/>
      </w:pPr>
      <w:r>
        <w:t xml:space="preserve">Algorithms become outdated as methods improve. Confluencia 3.0 uses an EventBus architecture that decouples modules via event-driven communication. Each component subscribes to events and emits results independently. New algorithms can replace existing implementations without modifying other modules.</w:t>
      </w:r>
    </w:p>
    <w:p>
      <w:pPr>
        <w:pStyle w:val="BodyText"/>
      </w:pPr>
      <w:r>
        <w:t xml:space="preserve">The small-sample problem is endemic to circRNA computational work. Confluencia Hub is a federated model sharing system where users upload trained model bundles, not raw data. No SMILES or nucleotide sequences are logged. Contributors can strip statistical traces (env_medians) before upload. Ethics-gated uploads require data source declaration (DOI or IRB number) and dual-use screening.</w:t>
      </w:r>
    </w:p>
    <w:bookmarkEnd w:id="13"/>
    <w:bookmarkEnd w:id="14"/>
    <w:bookmarkStart w:id="30" w:name="methods"/>
    <w:p>
      <w:pPr>
        <w:pStyle w:val="Heading1"/>
      </w:pPr>
      <w:r>
        <w:t xml:space="preserve">Methods</w:t>
      </w:r>
    </w:p>
    <w:bookmarkStart w:id="20" w:name="module-1-tnbc-simulacrum"/>
    <w:p>
      <w:pPr>
        <w:pStyle w:val="Heading2"/>
      </w:pPr>
      <w:r>
        <w:t xml:space="preserve">Module 1: TNBC Simulacrum</w:t>
      </w:r>
    </w:p>
    <w:p>
      <w:pPr>
        <w:pStyle w:val="FirstParagraph"/>
      </w:pPr>
      <w:r>
        <w:rPr>
          <w:b/>
          <w:bCs/>
        </w:rPr>
        <w:t xml:space="preserve">Parameterization.</w:t>
      </w:r>
      <w:r>
        <w:t xml:space="preserve"> </w:t>
      </w:r>
      <w:r>
        <w:t xml:space="preserve">Jiang et al.</w:t>
      </w:r>
      <w:r>
        <w:t xml:space="preserve"> </w:t>
      </w:r>
      <w:r>
        <w:t xml:space="preserve"> </w:t>
      </w:r>
      <w:r>
        <w:t xml:space="preserve">classified 360 TNBC tumors into four subtypes via RNA-seq and immune profiling (Supplementary Table S2). Subtype-specific parameters:</w:t>
      </w:r>
    </w:p>
    <w:p>
      <w:pPr>
        <w:numPr>
          <w:ilvl w:val="0"/>
          <w:numId w:val="1001"/>
        </w:numPr>
      </w:pPr>
      <w:r>
        <w:rPr>
          <w:b/>
          <w:bCs/>
        </w:rPr>
        <w:t xml:space="preserve">BLIS</w:t>
      </w:r>
      <w:r>
        <w:t xml:space="preserve"> </w:t>
      </w:r>
      <w:r>
        <w:t xml:space="preserve">(n=108): TIL 0.08-0.15 [mean 0.12], worst prognosis, BRCA1-associated, early immune escape by cycle 12</w:t>
      </w:r>
    </w:p>
    <w:p>
      <w:pPr>
        <w:numPr>
          <w:ilvl w:val="0"/>
          <w:numId w:val="1001"/>
        </w:numPr>
      </w:pPr>
      <w:r>
        <w:rPr>
          <w:b/>
          <w:bCs/>
        </w:rPr>
        <w:t xml:space="preserve">BLIA</w:t>
      </w:r>
      <w:r>
        <w:t xml:space="preserve"> </w:t>
      </w:r>
      <w:r>
        <w:t xml:space="preserve">(n=72): TIL 0.25-0.40 [mean 0.33], immune gene signatures (STAT1, CXCL10), immune-activated profile</w:t>
      </w:r>
    </w:p>
    <w:p>
      <w:pPr>
        <w:numPr>
          <w:ilvl w:val="0"/>
          <w:numId w:val="1001"/>
        </w:numPr>
      </w:pPr>
      <w:r>
        <w:rPr>
          <w:b/>
          <w:bCs/>
        </w:rPr>
        <w:t xml:space="preserve">IM</w:t>
      </w:r>
      <w:r>
        <w:t xml:space="preserve"> </w:t>
      </w:r>
      <w:r>
        <w:t xml:space="preserve">(n=85): TIL 0.50-0.70 [mean 0.60], PD-L1 0.40-0.60 [mean 0.50], checkpoint inhibitor responsive, sustains immunoediting equilibrium</w:t>
      </w:r>
    </w:p>
    <w:p>
      <w:pPr>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eqArr>
            <m:e>
              <m:f>
                <m:fPr>
                  <m:type m:val="bar"/>
                </m:fPr>
                <m:num>
                  <m:r>
                    <m:t>d</m:t>
                  </m:r>
                  <m:r>
                    <m:t>T</m:t>
                  </m:r>
                </m:num>
                <m:den>
                  <m:r>
                    <m:t>d</m:t>
                  </m:r>
                  <m:r>
                    <m:t>t</m:t>
                  </m:r>
                </m:den>
              </m:f>
              <m:r>
                <m:t>&amp;</m:t>
              </m:r>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e>
            <m:e>
              <m:f>
                <m:fPr>
                  <m:type m:val="bar"/>
                </m:fPr>
                <m:num>
                  <m:r>
                    <m:t>d</m:t>
                  </m:r>
                  <m:r>
                    <m:t>T</m:t>
                  </m:r>
                  <m:r>
                    <m:t>I</m:t>
                  </m:r>
                  <m:r>
                    <m:t>L</m:t>
                  </m:r>
                </m:num>
                <m:den>
                  <m:r>
                    <m:t>d</m:t>
                  </m:r>
                  <m:r>
                    <m:t>t</m:t>
                  </m:r>
                </m:den>
              </m:f>
              <m:r>
                <m:t>&amp;</m:t>
              </m:r>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e>
            <m:e>
              <m:f>
                <m:fPr>
                  <m:type m:val="bar"/>
                </m:fPr>
                <m:num>
                  <m:r>
                    <m:t>d</m:t>
                  </m:r>
                  <m:r>
                    <m:t>P</m:t>
                  </m:r>
                </m:num>
                <m:den>
                  <m:r>
                    <m:t>d</m:t>
                  </m:r>
                  <m:r>
                    <m:t>t</m:t>
                  </m:r>
                </m:den>
              </m:f>
              <m:r>
                <m:t>&amp;</m:t>
              </m:r>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e>
          </m:eqArr>
        </m:oMath>
      </m:oMathPara>
    </w:p>
    <w:p>
      <w:pPr>
        <w:pStyle w:val="FirstParagraph"/>
      </w:pPr>
      <w:r>
        <w:t xml:space="preserve">where Equation </w:t>
      </w:r>
      <w:hyperlink w:anchor="eq:tumor">
        <w:r>
          <w:rPr>
            <w:rStyle w:val="Hyperlink"/>
          </w:rPr>
          <w:t xml:space="preserve">[eq:tumor]</w:t>
        </w:r>
      </w:hyperlink>
      <w:r>
        <w:t xml:space="preserve"> </w:t>
      </w:r>
      <w:r>
        <w:t xml:space="preserve">describes tumor growth with immune killing, Equation </w:t>
      </w:r>
      <w:hyperlink w:anchor="eq:til">
        <w:r>
          <w:rPr>
            <w:rStyle w:val="Hyperlink"/>
          </w:rPr>
          <w:t xml:space="preserve">[eq:til]</w:t>
        </w:r>
      </w:hyperlink>
      <w:r>
        <w:t xml:space="preserve"> </w:t>
      </w:r>
      <w:r>
        <w:t xml:space="preserve">describes TIL recruitment and exhaustion, and Equation </w:t>
      </w:r>
      <w:hyperlink w:anchor="eq:protein">
        <w:r>
          <w:rPr>
            <w:rStyle w:val="Hyperlink"/>
          </w:rPr>
          <w:t xml:space="preserve">[eq:protein]</w:t>
        </w:r>
      </w:hyperlink>
      <w:r>
        <w:t xml:space="preserve"> </w:t>
      </w:r>
      <w:r>
        <w:t xml:space="preserve">describes circRNA protein expression.</w:t>
      </w:r>
    </w:p>
    <w:p>
      <w:pPr>
        <w:pStyle w:val="BodyText"/>
      </w:pPr>
      <w:r>
        <w:rPr>
          <w:b/>
          <w:bCs/>
        </w:rPr>
        <w:t xml:space="preserve">Important caveat.</w:t>
      </w:r>
      <w:r>
        <w:t xml:space="preserve"> </w:t>
      </w:r>
      <w:r>
        <w:t xml:space="preserve">These dynamics recapitulate input assumptions. IM is parameterized with higher TIL (0.50-0.70) than BLIS (0.08-0.15); the finding that IM responds better to immunotherapy is a direct consequence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bookmarkStart w:id="18" w:name="fig:tnbc_simulation"/>
    <w:p>
      <w:pPr>
        <w:pStyle w:val="CaptionedFigure"/>
      </w:pPr>
      <w:r>
        <w:drawing>
          <wp:inline>
            <wp:extent cx="4533900" cy="4140840"/>
            <wp:effectExtent b="0" l="0" r="0" t="0"/>
            <wp:docPr descr="" title="" id="16" name="Picture"/>
            <a:graphic>
              <a:graphicData uri="http://schemas.openxmlformats.org/drawingml/2006/picture">
                <pic:pic>
                  <pic:nvPicPr>
                    <pic:cNvPr descr="fig3_tnbc_simulation.pdf" id="17" name="Picture"/>
                    <pic:cNvPicPr>
                      <a:picLocks noChangeArrowheads="1" noChangeAspect="1"/>
                    </pic:cNvPicPr>
                  </pic:nvPicPr>
                  <pic:blipFill>
                    <a:blip r:embed="rId15"/>
                    <a:stretch>
                      <a:fillRect/>
                    </a:stretch>
                  </pic:blipFill>
                  <pic:spPr bwMode="auto">
                    <a:xfrm>
                      <a:off x="0" y="0"/>
                      <a:ext cx="4533900" cy="4140840"/>
                    </a:xfrm>
                    <a:prstGeom prst="rect">
                      <a:avLst/>
                    </a:prstGeom>
                    <a:noFill/>
                    <a:ln w="9525">
                      <a:noFill/>
                      <a:headEnd/>
                      <a:tailEnd/>
                    </a:ln>
                  </pic:spPr>
                </pic:pic>
              </a:graphicData>
            </a:graphic>
          </wp:inline>
        </w:drawing>
      </w:r>
    </w:p>
    <w:p>
      <w:pPr>
        <w:pStyle w:val="ImageCaption"/>
      </w:pPr>
      <w:r>
        <w:t xml:space="preserve">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bookmarkEnd w:id="18"/>
    <w:p>
      <w:pPr>
        <w:pStyle w:val="BodyText"/>
      </w:pPr>
      <w:r>
        <w:rPr>
          <w:b/>
          <w:bCs/>
        </w:rPr>
        <w:t xml:space="preserve">Subclonal Evolution with Drug-Induced Instability.</w:t>
      </w:r>
      <w:r>
        <w:t xml:space="preserve"> </w:t>
      </w:r>
      <w:r>
        <w:t xml:space="preserve">Tumor heterogeneity is tracked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across subclones, acknowledging that this discrete approximation simplifies the continuous reality of tumor heterogeneity. Drug pressure induces genomic instability: mutation rate increases from baseline 1%/step to 50%/step under treatment, modeling the clinical reality of accelerated mutagenesis under chemotherapy</w:t>
      </w:r>
      <w:r>
        <w:t xml:space="preserve"> </w:t>
      </w:r>
      <w:r>
        <w:t xml:space="preserve">. Resistant clones acquire selection advantage proportional to drug concentration, capturing the emergence of drug resistance that static tumor models cannot predict. Epigenetic adaptation occurs at 2%/step, modeling non-genetic resistance mechanisms. The EventBus emits DRUG_RESISTANCE_EMERGED events when Shannon diversity exceeds threshold, triggering treatment adaptation.</w:t>
      </w:r>
    </w:p>
    <w:p>
      <w:pPr>
        <w:pStyle w:val="BodyText"/>
      </w:pPr>
      <w:r>
        <w:rPr>
          <w:b/>
          <w:bCs/>
        </w:rPr>
        <w:t xml:space="preserve">Spatial TME Simulation.</w:t>
      </w:r>
      <w:r>
        <w:t xml:space="preserve"> </w:t>
      </w:r>
      <w:r>
        <w:t xml:space="preserve">The tumor microenvironment is modeled across three spatial compartments with distinct properties:</w:t>
      </w:r>
    </w:p>
    <w:bookmarkStart w:id="19" w:name="tab:tme_compartment"/>
    <w:p>
      <w:pPr>
        <w:pStyle w:val="TableCaption"/>
      </w:pPr>
      <w:r>
        <w:t xml:space="preserve">Spatial TME compartment properties</w:t>
      </w:r>
    </w:p>
    <w:tbl>
      <w:tblPr>
        <w:tblStyle w:val="Table"/>
        <w:tblW w:type="auto" w:w="0"/>
        <w:tblLook w:firstRow="1" w:lastRow="0" w:firstColumn="0" w:lastColumn="0" w:noHBand="0" w:noVBand="0" w:val="0020"/>
        <w:tblCaption w:val="Spatial TME compartment properties"/>
      </w:tblPr>
      <w:tblGrid>
        <w:gridCol w:w="1584"/>
        <w:gridCol w:w="1584"/>
        <w:gridCol w:w="1584"/>
        <w:gridCol w:w="1584"/>
        <w:gridCol w:w="1584"/>
      </w:tblGrid>
      <w:tr>
        <w:trPr>
          <w:tblHeader w:val="on"/>
        </w:trPr>
        <w:tc>
          <w:tcPr/>
          <w:p>
            <w:pPr>
              <w:pStyle w:val="Compact"/>
              <w:jc w:val="left"/>
            </w:pPr>
            <w:r>
              <w:rPr>
                <w:b/>
                <w:bCs/>
              </w:rPr>
              <w:t xml:space="preserve">Compartment</w:t>
            </w:r>
          </w:p>
        </w:tc>
        <w:tc>
          <w:tcPr/>
          <w:p>
            <w:pPr>
              <w:pStyle w:val="Compact"/>
              <w:jc w:val="center"/>
            </w:pPr>
            <w:r>
              <w:rPr>
                <w:b/>
                <w:bCs/>
              </w:rPr>
              <w:t xml:space="preserve">Oxygen</w:t>
            </w:r>
          </w:p>
        </w:tc>
        <w:tc>
          <w:tcPr/>
          <w:p>
            <w:pPr>
              <w:pStyle w:val="Compact"/>
              <w:jc w:val="center"/>
            </w:pPr>
            <w:r>
              <w:rPr>
                <w:b/>
                <w:bCs/>
              </w:rPr>
              <w:t xml:space="preserve">Drug Penetration</w:t>
            </w:r>
          </w:p>
        </w:tc>
        <w:tc>
          <w:tcPr/>
          <w:p>
            <w:pPr>
              <w:pStyle w:val="Compact"/>
              <w:jc w:val="center"/>
            </w:pPr>
            <w:r>
              <w:rPr>
                <w:b/>
                <w:bCs/>
              </w:rPr>
              <w:t xml:space="preserve">Immune Cell Density</w:t>
            </w:r>
          </w:p>
        </w:tc>
        <w:tc>
          <w:tcPr/>
          <w:p>
            <w:pPr>
              <w:pStyle w:val="Compact"/>
              <w:jc w:val="center"/>
            </w:pPr>
            <w:r>
              <w:rPr>
                <w:b/>
                <w:bCs/>
              </w:rPr>
              <w:t xml:space="preserve">Key Features</w:t>
            </w:r>
          </w:p>
        </w:tc>
      </w:tr>
      <w:tr>
        <w:tc>
          <w:tcPr/>
          <w:p>
            <w:pPr>
              <w:pStyle w:val="Compact"/>
              <w:jc w:val="left"/>
            </w:pPr>
            <w:r>
              <w:t xml:space="preserve">Hypoxic core</w:t>
            </w:r>
          </w:p>
        </w:tc>
        <w:tc>
          <w:tcPr/>
          <w:p>
            <w:pPr>
              <w:pStyle w:val="Compact"/>
              <w:jc w:val="center"/>
            </w:pPr>
            <m:oMath>
              <m:r>
                <m:rPr>
                  <m:sty m:val="p"/>
                </m:rPr>
                <m:t>&lt;</m:t>
              </m:r>
              <m:r>
                <m:t>2</m:t>
              </m:r>
              <m:r>
                <m:rPr>
                  <m:sty m:val="p"/>
                </m:rPr>
                <m:t>%</m:t>
              </m:r>
            </m:oMath>
          </w:p>
        </w:tc>
        <w:tc>
          <w:tcPr/>
          <w:p>
            <w:pPr>
              <w:pStyle w:val="Compact"/>
              <w:jc w:val="center"/>
            </w:pPr>
            <w:r>
              <w:t xml:space="preserve">Low (20-40%)</w:t>
            </w:r>
          </w:p>
        </w:tc>
        <w:tc>
          <w:tcPr/>
          <w:p>
            <w:pPr>
              <w:pStyle w:val="Compact"/>
              <w:jc w:val="center"/>
            </w:pPr>
            <w:r>
              <w:t xml:space="preserve">Sparse</w:t>
            </w:r>
          </w:p>
        </w:tc>
        <w:tc>
          <w:tcPr/>
          <w:p>
            <w:pPr>
              <w:pStyle w:val="Compact"/>
              <w:jc w:val="center"/>
            </w:pPr>
            <w:r>
              <w:t xml:space="preserve">HIF-1</w:t>
            </w:r>
            <m:oMath>
              <m:r>
                <m:t>α</m:t>
              </m:r>
            </m:oMath>
            <w:r>
              <w:t xml:space="preserve"> </w:t>
            </w:r>
            <w:r>
              <w:t xml:space="preserve">active, immunosuppressive</w:t>
            </w:r>
          </w:p>
        </w:tc>
      </w:tr>
      <w:tr>
        <w:tc>
          <w:tcPr/>
          <w:p>
            <w:pPr>
              <w:pStyle w:val="Compact"/>
              <w:jc w:val="left"/>
            </w:pPr>
            <w:r>
              <w:t xml:space="preserve">Immune-rich margin</w:t>
            </w:r>
          </w:p>
        </w:tc>
        <w:tc>
          <w:tcPr/>
          <w:p>
            <w:pPr>
              <w:pStyle w:val="Compact"/>
              <w:jc w:val="center"/>
            </w:pPr>
            <w:r>
              <w:t xml:space="preserve">5-10%</w:t>
            </w:r>
          </w:p>
        </w:tc>
        <w:tc>
          <w:tcPr/>
          <w:p>
            <w:pPr>
              <w:pStyle w:val="Compact"/>
              <w:jc w:val="center"/>
            </w:pPr>
            <w:r>
              <w:t xml:space="preserve">Moderate (60-80%)</w:t>
            </w:r>
          </w:p>
        </w:tc>
        <w:tc>
          <w:tcPr/>
          <w:p>
            <w:pPr>
              <w:pStyle w:val="Compact"/>
              <w:jc w:val="center"/>
            </w:pPr>
            <w:r>
              <w:t xml:space="preserve">High</w:t>
            </w:r>
          </w:p>
        </w:tc>
        <w:tc>
          <w:tcPr/>
          <w:p>
            <w:pPr>
              <w:pStyle w:val="Compact"/>
              <w:jc w:val="center"/>
            </w:pPr>
            <w:r>
              <w:t xml:space="preserve">Active immune surveillance</w:t>
            </w:r>
          </w:p>
        </w:tc>
      </w:tr>
      <w:tr>
        <w:tc>
          <w:tcPr/>
          <w:p>
            <w:pPr>
              <w:pStyle w:val="Compact"/>
              <w:jc w:val="left"/>
            </w:pPr>
            <w:r>
              <w:t xml:space="preserve">Stromal barrier</w:t>
            </w:r>
          </w:p>
        </w:tc>
        <w:tc>
          <w:tcPr/>
          <w:p>
            <w:pPr>
              <w:pStyle w:val="Compact"/>
              <w:jc w:val="center"/>
            </w:pPr>
            <w:r>
              <w:t xml:space="preserve">2-5%</w:t>
            </w:r>
          </w:p>
        </w:tc>
        <w:tc>
          <w:tcPr/>
          <w:p>
            <w:pPr>
              <w:pStyle w:val="Compact"/>
              <w:jc w:val="center"/>
            </w:pPr>
            <w:r>
              <w:t xml:space="preserve">Variable (40-70%)</w:t>
            </w:r>
          </w:p>
        </w:tc>
        <w:tc>
          <w:tcPr/>
          <w:p>
            <w:pPr>
              <w:pStyle w:val="Compact"/>
              <w:jc w:val="center"/>
            </w:pPr>
            <w:r>
              <w:t xml:space="preserve">Moderate</w:t>
            </w:r>
          </w:p>
        </w:tc>
        <w:tc>
          <w:tcPr/>
          <w:p>
            <w:pPr>
              <w:pStyle w:val="Compact"/>
              <w:jc w:val="center"/>
            </w:pPr>
            <w:r>
              <w:t xml:space="preserve">CAF-mediated exclusion</w:t>
            </w:r>
          </w:p>
        </w:tc>
      </w:tr>
    </w:tbl>
    <w:bookmarkEnd w:id="19"/>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w:t>
      </w:r>
      <w:r>
        <w:t xml:space="preserve"> </w:t>
      </w:r>
      <m:oMath>
        <m:r>
          <m:rPr>
            <m:sty m:val="p"/>
          </m:rPr>
          <m:t>→</m:t>
        </m:r>
      </m:oMath>
      <w:r>
        <w:t xml:space="preserve"> </w:t>
      </w:r>
      <w:r>
        <w:t xml:space="preserve">ADC response 0.85, circRNA efficacy 0.78; B7H4-high</w:t>
      </w:r>
      <w:r>
        <w:t xml:space="preserve"> </w:t>
      </w:r>
      <m:oMath>
        <m:r>
          <m:rPr>
            <m:sty m:val="p"/>
          </m:rPr>
          <m:t>→</m:t>
        </m:r>
      </m:oMath>
      <w:r>
        <w:t xml:space="preserve"> </w:t>
      </w:r>
      <w:r>
        <w:t xml:space="preserve">immuno_response 0.82.</w:t>
      </w:r>
    </w:p>
    <w:p>
      <w:pPr>
        <w:pStyle w:val="BodyText"/>
      </w:pPr>
      <w:r>
        <w:rPr>
          <w:b/>
          <w:bCs/>
        </w:rPr>
        <w:t xml:space="preserve">Bio-Mimetic Drug Architecture.</w:t>
      </w:r>
      <w:r>
        <w:t xml:space="preserve"> </w:t>
      </w:r>
      <w:r>
        <w:t xml:space="preserve">The drug ADMET prediction incorporates four brain-inspired components: (1) Topology Pharmacophore Network, representing molecules as scale-free graphs of pharmacophore nodes (HBD, HBA, hydrophobic, aromatic) with degree centrality features; (2) Tissue-Specific Dynamic Attention, generating patient-specific gating weights based on physiological state (liver function, kidney function, inflammation, pH); (3) Adversarial Synaptic Pruning, combining Pareto optimization with competitive selection to eliminate poor molecule candidates; (4) Neuroplastic Closed-Loop, adjusting model structure when clinical feedback indicates prediction error</w:t>
      </w:r>
      <w:r>
        <w:t xml:space="preserve"> </w:t>
      </w:r>
      <m:oMath>
        <m:r>
          <m:rPr>
            <m:sty m:val="p"/>
          </m:rPr>
          <m:t>&gt;</m:t>
        </m:r>
        <m:r>
          <m:t>0.3</m:t>
        </m:r>
      </m:oMath>
      <w:r>
        <w:t xml:space="preserve">, implementing three-tier adaptation: fine-tuning (small errors), weight reconfiguration (moderate), structural plasticity (large errors). This architecture enables tissue-specific ADMET modulation and clinical feedback integration without retraining.</w:t>
      </w:r>
    </w:p>
    <w:bookmarkEnd w:id="20"/>
    <w:bookmarkStart w:id="21" w:name="module-2-circulapk-pharmacokinetics"/>
    <w:p>
      <w:pPr>
        <w:pStyle w:val="Heading2"/>
      </w:pPr>
      <w:r>
        <w:t xml:space="preserve">Module 2: CirculaPK Pharmacokinetics</w:t>
      </w:r>
    </w:p>
    <w:p>
      <w:pPr>
        <w:pStyle w:val="FirstParagraph"/>
      </w:pPr>
      <w:r>
        <w:rPr>
          <w:b/>
          <w:bCs/>
        </w:rPr>
        <w:t xml:space="preserve">Compartment Structure.</w:t>
      </w:r>
      <w:r>
        <w:t xml:space="preserve"> </w:t>
      </w:r>
      <w:r>
        <w:t xml:space="preserve">Six compartments: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This structure captures three circRNA-specific bottlenecks that linear mRNA PK models omit:</w:t>
      </w:r>
    </w:p>
    <w:p>
      <w:pPr>
        <w:numPr>
          <w:ilvl w:val="0"/>
          <w:numId w:val="1002"/>
        </w:numPr>
      </w:pPr>
      <w:r>
        <w:rPr>
          <w:b/>
          <w:bCs/>
        </w:rPr>
        <w:t xml:space="preserve">LNP encapsulation</w:t>
      </w:r>
      <w:r>
        <w:t xml:space="preserve"> </w:t>
      </w:r>
      <w:r>
        <w:t xml:space="preserve">with tissue-specific biodistribution (liver 0.80, spleen 0.10 per Paunovska et al., 2018).</w:t>
      </w:r>
    </w:p>
    <w:p>
      <w:pPr>
        <w:numPr>
          <w:ilvl w:val="0"/>
          <w:numId w:val="1002"/>
        </w:numPr>
      </w:pPr>
      <w:r>
        <w:rPr>
          <w:b/>
          <w:bCs/>
        </w:rPr>
        <w:t xml:space="preserve">Endosomal escape</w:t>
      </w:r>
      <w:r>
        <w:t xml:space="preserve"> </w:t>
      </w:r>
      <w:r>
        <w:t xml:space="preserve">at 1-4% efficiency</w:t>
      </w:r>
      <w:r>
        <w:t xml:space="preserve"> </w:t>
      </w:r>
      <w:r>
        <w:t xml:space="preserve">. The escape rate</w:t>
      </w:r>
      <w:r>
        <w:t xml:space="preserve"> </w:t>
      </w:r>
      <m:oMath>
        <m:sSub>
          <m:e>
            <m:r>
              <m:t>k</m:t>
            </m:r>
          </m:e>
          <m:sub>
            <m:r>
              <m:t>e</m:t>
            </m:r>
            <m:r>
              <m:t>c</m:t>
            </m:r>
          </m:sub>
        </m:sSub>
        <m:r>
          <m:rPr>
            <m:sty m:val="p"/>
          </m:rPr>
          <m:t>=</m:t>
        </m:r>
        <m:r>
          <m:t>0.025</m:t>
        </m:r>
      </m:oMath>
      <w:r>
        <w:t xml:space="preserve">/h is derived from stochastic efficiency</w:t>
      </w:r>
      <w:r>
        <w:t xml:space="preserve"> </w:t>
      </w:r>
      <m:oMath>
        <m:r>
          <m:t>η</m:t>
        </m:r>
        <m:r>
          <m:rPr>
            <m:sty m:val="p"/>
          </m:rPr>
          <m:t>=</m:t>
        </m:r>
        <m:r>
          <m:t>0.02</m:t>
        </m:r>
        <m:r>
          <m:rPr>
            <m:sty m:val="p"/>
          </m:rPr>
          <m:t>−</m:t>
        </m:r>
        <m:r>
          <m:t>0.04</m:t>
        </m:r>
      </m:oMath>
      <w:r>
        <w:t xml:space="preserve"> </w:t>
      </w:r>
      <w:r>
        <w:t xml:space="preserve">(Gilleron 2013) converted to first-order kinetics.</w:t>
      </w:r>
    </w:p>
    <w:p>
      <w:pPr>
        <w:numPr>
          <w:ilvl w:val="0"/>
          <w:numId w:val="1002"/>
        </w:numPr>
      </w:pPr>
      <w:r>
        <w:rPr>
          <w:b/>
          <w:bCs/>
        </w:rPr>
        <w:t xml:space="preserve">IRES-dependent translation</w:t>
      </w:r>
      <w:r>
        <w:t xml:space="preserve"> </w:t>
      </w:r>
      <w:r>
        <w:t xml:space="preserve">at 0.02-0.32/h depending on IRES sequence (e.g., EMCV IRES</w:t>
      </w:r>
      <w:r>
        <w:t xml:space="preserve"> </w:t>
      </w:r>
      <m:oMath>
        <m:r>
          <m:rPr>
            <m:sty m:val="p"/>
          </m:rPr>
          <m:t>∼</m:t>
        </m:r>
      </m:oMath>
      <w:r>
        <w:t xml:space="preserve">0.25/h, HIV-1 IRES</w:t>
      </w:r>
      <w:r>
        <w:t xml:space="preserve"> </w:t>
      </w:r>
      <m:oMath>
        <m:r>
          <m:rPr>
            <m:sty m:val="p"/>
          </m:rPr>
          <m:t>∼</m:t>
        </m:r>
      </m:oMath>
      <w:r>
        <w:t xml:space="preserve">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w:t>
      </w:r>
      <w:r>
        <w:t xml:space="preserve"> </w:t>
      </w:r>
      <m:oMath>
        <m:sSub>
          <m:e>
            <m:r>
              <m:t>k</m:t>
            </m:r>
          </m:e>
          <m:sub>
            <m:r>
              <m:t>a</m:t>
            </m:r>
            <m:r>
              <m:t>b</m:t>
            </m:r>
          </m:sub>
        </m:sSub>
        <m:r>
          <m:rPr>
            <m:sty m:val="p"/>
          </m:rPr>
          <m:t>=</m:t>
        </m:r>
        <m:r>
          <m:t>0.80</m:t>
        </m:r>
      </m:oMath>
      <w:r>
        <w:t xml:space="preserve">/h (absorption),</w:t>
      </w:r>
      <w:r>
        <w:t xml:space="preserve"> </w:t>
      </w:r>
      <m:oMath>
        <m:sSub>
          <m:e>
            <m:r>
              <m:t>k</m:t>
            </m:r>
          </m:e>
          <m:sub>
            <m:r>
              <m:t>b</m:t>
            </m:r>
            <m:r>
              <m:t>e</m:t>
            </m:r>
          </m:sub>
        </m:sSub>
        <m:r>
          <m:rPr>
            <m:sty m:val="p"/>
          </m:rPr>
          <m:t>=</m:t>
        </m:r>
        <m:r>
          <m:t>0.025</m:t>
        </m:r>
      </m:oMath>
      <w:r>
        <w:t xml:space="preserve">/h (endosomal uptake),</w:t>
      </w:r>
      <w:r>
        <w:t xml:space="preserve"> </w:t>
      </w:r>
      <m:oMath>
        <m:sSub>
          <m:e>
            <m:r>
              <m:t>k</m:t>
            </m:r>
          </m:e>
          <m:sub>
            <m:r>
              <m:t>e</m:t>
            </m:r>
            <m:r>
              <m:t>c</m:t>
            </m:r>
          </m:sub>
        </m:sSub>
        <m:r>
          <m:rPr>
            <m:sty m:val="p"/>
          </m:rPr>
          <m:t>=</m:t>
        </m:r>
        <m:r>
          <m:t>0.025</m:t>
        </m:r>
      </m:oMath>
      <w:r>
        <w:t xml:space="preserve">/h (escape),</w:t>
      </w:r>
      <w:r>
        <w:t xml:space="preserve"> </w:t>
      </w:r>
      <m:oMath>
        <m:sSub>
          <m:e>
            <m:r>
              <m:t>k</m:t>
            </m:r>
          </m:e>
          <m:sub>
            <m:r>
              <m:t>c</m:t>
            </m:r>
            <m:r>
              <m:t>p</m:t>
            </m:r>
          </m:sub>
        </m:sSub>
        <m:r>
          <m:rPr>
            <m:sty m:val="p"/>
          </m:rPr>
          <m:t>=</m:t>
        </m:r>
        <m:r>
          <m:t>0.02</m:t>
        </m:r>
        <m:r>
          <m:rPr>
            <m:sty m:val="p"/>
          </m:rPr>
          <m:t>−</m:t>
        </m:r>
        <m:r>
          <m:t>0.32</m:t>
        </m:r>
      </m:oMath>
      <w:r>
        <w:t xml:space="preserve">/h (translation, IRES-dependent),</w:t>
      </w:r>
      <w:r>
        <w:t xml:space="preserve"> </w:t>
      </w:r>
      <m:oMath>
        <m:sSub>
          <m:e>
            <m:r>
              <m:t>k</m:t>
            </m:r>
          </m:e>
          <m:sub>
            <m:r>
              <m:t>c</m:t>
            </m:r>
            <m:r>
              <m:t>d</m:t>
            </m:r>
          </m:sub>
        </m:sSub>
        <m:r>
          <m:rPr>
            <m:sty m:val="p"/>
          </m:rPr>
          <m:t>=</m:t>
        </m:r>
        <m:r>
          <m:t>0.04</m:t>
        </m:r>
        <m:r>
          <m:rPr>
            <m:sty m:val="p"/>
          </m:rPr>
          <m:t>−</m:t>
        </m:r>
        <m:r>
          <m:t>0.12</m:t>
        </m:r>
      </m:oMath>
      <w:r>
        <w:t xml:space="preserve">/h (degradation, modification-adjusted),</w:t>
      </w:r>
      <w:r>
        <w:t xml:space="preserve"> </w:t>
      </w:r>
      <m:oMath>
        <m:sSub>
          <m:e>
            <m:r>
              <m:t>k</m:t>
            </m:r>
          </m:e>
          <m:sub>
            <m:r>
              <m:t>p</m:t>
            </m:r>
            <m:r>
              <m:t>c</m:t>
            </m:r>
          </m:sub>
        </m:sSub>
        <m:r>
          <m:rPr>
            <m:sty m:val="p"/>
          </m:rPr>
          <m:t>=</m:t>
        </m:r>
        <m:r>
          <m:t>0.10</m:t>
        </m:r>
        <m:r>
          <m:rPr>
            <m:sty m:val="p"/>
          </m:rPr>
          <m:t>−</m:t>
        </m:r>
        <m:r>
          <m:t>0.20</m:t>
        </m:r>
      </m:oMath>
      <w:r>
        <w:t xml:space="preserve">/h (protein clearance). RK45 integration outputs AUC,</w:t>
      </w:r>
      <w:r>
        <w:t xml:space="preserve"> </w:t>
      </w:r>
      <m:oMath>
        <m:sSub>
          <m:e>
            <m:r>
              <m:t>C</m:t>
            </m:r>
          </m:e>
          <m:sub>
            <m:r>
              <m:t>m</m:t>
            </m:r>
            <m:r>
              <m:t>a</m:t>
            </m:r>
            <m:r>
              <m:t>x</m:t>
            </m:r>
          </m:sub>
        </m:sSub>
      </m:oMath>
      <w:r>
        <w:t xml:space="preserve">, half-life.</w:t>
      </w:r>
    </w:p>
    <w:p>
      <w:pPr>
        <w:pStyle w:val="BodyText"/>
      </w:pPr>
      <w:r>
        <w:rPr>
          <w:b/>
          <w:bCs/>
        </w:rPr>
        <w:t xml:space="preserve">Modification Effects.</w:t>
      </w:r>
      <w:r>
        <w:t xml:space="preserve"> </w:t>
      </w:r>
      <w:r>
        <w:t xml:space="preserve">Nucleotide modifications alter degradation rate</w:t>
      </w:r>
      <w:r>
        <w:t xml:space="preserve"> </w:t>
      </w:r>
      <m:oMath>
        <m:sSub>
          <m:e>
            <m:r>
              <m:t>k</m:t>
            </m:r>
          </m:e>
          <m:sub>
            <m:r>
              <m:t>c</m:t>
            </m:r>
            <m:r>
              <m:t>d</m:t>
            </m:r>
          </m:sub>
        </m:sSub>
      </m:oMath>
      <w:r>
        <w:t xml:space="preserve">: unmodified circRNA</w:t>
      </w:r>
      <w:r>
        <w:t xml:space="preserve"> </w:t>
      </w:r>
      <m:oMath>
        <m:sSub>
          <m:e>
            <m:r>
              <m:t>k</m:t>
            </m:r>
          </m:e>
          <m:sub>
            <m:r>
              <m:t>c</m:t>
            </m:r>
            <m:r>
              <m:t>d</m:t>
            </m:r>
          </m:sub>
        </m:sSub>
        <m:r>
          <m:rPr>
            <m:sty m:val="p"/>
          </m:rPr>
          <m:t>=</m:t>
        </m:r>
        <m:r>
          <m:t>0.12</m:t>
        </m:r>
      </m:oMath>
      <w:r>
        <w:t xml:space="preserve">/h; m6A reduces to 0.06-0.08/h; Psi reduces to 0.04-0.06/h. These adjustments are derived from in vitro stability data and applied as multipliers to the base degradation rate.</w:t>
      </w:r>
    </w:p>
    <w:bookmarkEnd w:id="21"/>
    <w:bookmarkStart w:id="28" w:name="Xcede5b72b7862712197598da8f9d67c19ab148b"/>
    <w:p>
      <w:pPr>
        <w:pStyle w:val="Heading2"/>
      </w:pPr>
      <w:r>
        <w:t xml:space="preserve">Module 3: circRNA-Specific Innate Immune Sensing</w:t>
      </w:r>
    </w:p>
    <w:p>
      <w:pPr>
        <w:pStyle w:val="FirstParagraph"/>
      </w:pPr>
      <w:r>
        <w:t xml:space="preserve">This module implements the first immunogenicity scoring system that explicitly distinguishes circRNA from linear RNA innate immune activation mechanisms. The key biological insight is that circRNAs lack 5’ termini, invalidating the canonical RIG-I 5’-ppp sensing pathway</w:t>
      </w:r>
      <w:r>
        <w:t xml:space="preserve"> </w:t>
      </w:r>
      <w:r>
        <w:t xml:space="preserve">.</w:t>
      </w:r>
    </w:p>
    <w:p>
      <w:pPr>
        <w:pStyle w:val="BodyText"/>
      </w:pPr>
      <w:r>
        <w:rPr>
          <w:b/>
          <w:bCs/>
        </w:rPr>
        <w:t xml:space="preserve">Important caveat on circRNA production method.</w:t>
      </w:r>
      <w:r>
        <w:t xml:space="preserve"> </w:t>
      </w:r>
      <w:r>
        <w:t xml:space="preserve">Chen et al.</w:t>
      </w:r>
      <w:r>
        <w:t xml:space="preserve"> </w:t>
      </w:r>
      <w:r>
        <w:t xml:space="preserve"> </w:t>
      </w:r>
      <w:r>
        <w:t xml:space="preserve">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w:t>
      </w:r>
    </w:p>
    <w:bookmarkStart w:id="22" w:name="tab:immunogenicity_pathways"/>
    <w:p>
      <w:pPr>
        <w:pStyle w:val="TableCaption"/>
      </w:pPr>
      <w:r>
        <w:t xml:space="preserve">circRNA innate immune sensing pathways</w:t>
      </w:r>
    </w:p>
    <w:tbl>
      <w:tblPr>
        <w:tblStyle w:val="Table"/>
        <w:tblW w:type="auto" w:w="0"/>
        <w:tblLook w:firstRow="1" w:lastRow="0" w:firstColumn="0" w:lastColumn="0" w:noHBand="0" w:noVBand="0" w:val="0020"/>
        <w:tblCaption w:val="circRNA innate immune sensing pathways"/>
      </w:tblPr>
      <w:tblGrid>
        <w:gridCol w:w="1584"/>
        <w:gridCol w:w="1584"/>
        <w:gridCol w:w="1584"/>
        <w:gridCol w:w="1584"/>
        <w:gridCol w:w="1584"/>
      </w:tblGrid>
      <w:tr>
        <w:trPr>
          <w:tblHeader w:val="on"/>
        </w:trPr>
        <w:tc>
          <w:tcPr/>
          <w:p>
            <w:pPr>
              <w:pStyle w:val="Compact"/>
              <w:jc w:val="left"/>
            </w:pPr>
            <w:r>
              <w:rPr>
                <w:b/>
                <w:bCs/>
              </w:rPr>
              <w:t xml:space="preserve">Pathway</w:t>
            </w:r>
          </w:p>
        </w:tc>
        <w:tc>
          <w:tcPr/>
          <w:p>
            <w:pPr>
              <w:pStyle w:val="Compact"/>
              <w:jc w:val="left"/>
            </w:pPr>
            <w:r>
              <w:rPr>
                <w:b/>
                <w:bCs/>
              </w:rPr>
              <w:t xml:space="preserve">Sensor</w:t>
            </w:r>
          </w:p>
        </w:tc>
        <w:tc>
          <w:tcPr/>
          <w:p>
            <w:pPr>
              <w:pStyle w:val="Compact"/>
              <w:jc w:val="left"/>
            </w:pPr>
            <w:r>
              <w:rPr>
                <w:b/>
                <w:bCs/>
              </w:rPr>
              <w:t xml:space="preserve">circRNA Sensing Mechanism</w:t>
            </w:r>
          </w:p>
        </w:tc>
        <w:tc>
          <w:tcPr/>
          <w:p>
            <w:pPr>
              <w:pStyle w:val="Compact"/>
              <w:jc w:val="left"/>
            </w:pPr>
            <w:r>
              <w:rPr>
                <w:b/>
                <w:bCs/>
              </w:rPr>
              <w:t xml:space="preserve">Literature Basis</w:t>
            </w:r>
          </w:p>
        </w:tc>
        <w:tc>
          <w:tcPr/>
          <w:p>
            <w:pPr>
              <w:pStyle w:val="Compact"/>
              <w:jc w:val="left"/>
            </w:pPr>
            <w:r>
              <w:rPr>
                <w:b/>
                <w:bCs/>
              </w:rPr>
              <w:t xml:space="preserve">Confidence</w:t>
            </w:r>
          </w:p>
        </w:tc>
      </w:tr>
      <w:tr>
        <w:tc>
          <w:tcPr/>
          <w:p>
            <w:pPr>
              <w:pStyle w:val="Compact"/>
              <w:jc w:val="left"/>
            </w:pPr>
            <w:r>
              <w:t xml:space="preserve">MDA5/dsRNA</w:t>
            </w:r>
          </w:p>
        </w:tc>
        <w:tc>
          <w:tcPr/>
          <w:p>
            <w:pPr>
              <w:pStyle w:val="Compact"/>
              <w:jc w:val="left"/>
            </w:pPr>
            <w:r>
              <w:t xml:space="preserve">MDA5</w:t>
            </w:r>
          </w:p>
        </w:tc>
        <w:tc>
          <w:tcPr/>
          <w:p>
            <w:pPr>
              <w:pStyle w:val="Compact"/>
              <w:jc w:val="left"/>
            </w:pPr>
            <w:r>
              <w:t xml:space="preserve">Long dsRNA structures (</w:t>
            </w:r>
            <m:oMath>
              <m:r>
                <m:rPr>
                  <m:sty m:val="p"/>
                </m:rPr>
                <m:t>&gt;</m:t>
              </m:r>
            </m:oMath>
            <w:r>
              <w:t xml:space="preserve">16 bp), inverted repeats</w:t>
            </w:r>
          </w:p>
        </w:tc>
        <w:tc>
          <w:tcPr/>
          <w:p>
            <w:pPr>
              <w:pStyle w:val="Compact"/>
              <w:jc w:val="left"/>
            </w:pPr>
            <w:r>
              <w:t xml:space="preserve">Chen 2019, Peisley and Hur 2013</w:t>
            </w:r>
          </w:p>
        </w:tc>
        <w:tc>
          <w:tcPr/>
          <w:p>
            <w:pPr>
              <w:pStyle w:val="Compact"/>
              <w:jc w:val="left"/>
            </w:pPr>
            <w:r>
              <w:t xml:space="preserve">Medium</w:t>
            </w:r>
          </w:p>
        </w:tc>
      </w:tr>
      <w:tr>
        <w:tc>
          <w:tcPr/>
          <w:p>
            <w:pPr>
              <w:pStyle w:val="Compact"/>
              <w:jc w:val="left"/>
            </w:pPr>
            <w:r>
              <w:t xml:space="preserve">TLR7</w:t>
            </w:r>
          </w:p>
        </w:tc>
        <w:tc>
          <w:tcPr/>
          <w:p>
            <w:pPr>
              <w:pStyle w:val="Compact"/>
              <w:jc w:val="left"/>
            </w:pPr>
            <w:r>
              <w:t xml:space="preserve">TLR7</w:t>
            </w:r>
          </w:p>
        </w:tc>
        <w:tc>
          <w:tcPr/>
          <w:p>
            <w:pPr>
              <w:pStyle w:val="Compact"/>
              <w:jc w:val="left"/>
            </w:pPr>
            <w:r>
              <w:t xml:space="preserve">GU-rich ssRNA motifs in endosome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TLR8</w:t>
            </w:r>
          </w:p>
        </w:tc>
        <w:tc>
          <w:tcPr/>
          <w:p>
            <w:pPr>
              <w:pStyle w:val="Compact"/>
              <w:jc w:val="left"/>
            </w:pPr>
            <w:r>
              <w:t xml:space="preserve">TLR8</w:t>
            </w:r>
          </w:p>
        </w:tc>
        <w:tc>
          <w:tcPr/>
          <w:p>
            <w:pPr>
              <w:pStyle w:val="Compact"/>
              <w:jc w:val="left"/>
            </w:pPr>
            <w:r>
              <w:t xml:space="preserve">AU-rich ssRNA motifs with uridine preference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PKR</w:t>
            </w:r>
          </w:p>
        </w:tc>
        <w:tc>
          <w:tcPr/>
          <w:p>
            <w:pPr>
              <w:pStyle w:val="Compact"/>
              <w:jc w:val="left"/>
            </w:pPr>
            <w:r>
              <w:t xml:space="preserve">PKR</w:t>
            </w:r>
          </w:p>
        </w:tc>
        <w:tc>
          <w:tcPr/>
          <w:p>
            <w:pPr>
              <w:pStyle w:val="Compact"/>
              <w:jc w:val="left"/>
            </w:pPr>
            <w:r>
              <w:t xml:space="preserve">dsRNA length</w:t>
            </w:r>
            <w:r>
              <w:t xml:space="preserve"> </w:t>
            </w:r>
            <m:oMath>
              <m:r>
                <m:rPr>
                  <m:sty m:val="p"/>
                </m:rPr>
                <m:t>&gt;</m:t>
              </m:r>
            </m:oMath>
            <w:r>
              <w:t xml:space="preserve">33 bp</w:t>
            </w:r>
          </w:p>
        </w:tc>
        <w:tc>
          <w:tcPr/>
          <w:p>
            <w:pPr>
              <w:pStyle w:val="Compact"/>
              <w:jc w:val="left"/>
            </w:pPr>
            <w:r>
              <w:t xml:space="preserve">Nallagatla 2007</w:t>
            </w:r>
          </w:p>
        </w:tc>
        <w:tc>
          <w:tcPr/>
          <w:p>
            <w:pPr>
              <w:pStyle w:val="Compact"/>
              <w:jc w:val="left"/>
            </w:pPr>
            <w:r>
              <w:t xml:space="preserve">High</w:t>
            </w:r>
          </w:p>
        </w:tc>
      </w:tr>
    </w:tbl>
    <w:bookmarkEnd w:id="22"/>
    <w:bookmarkStart w:id="26" w:name="fig:immunogenicity"/>
    <w:p>
      <w:pPr>
        <w:pStyle w:val="CaptionedFigure"/>
      </w:pPr>
      <w:r>
        <w:drawing>
          <wp:inline>
            <wp:extent cx="4533900" cy="2184681"/>
            <wp:effectExtent b="0" l="0" r="0" t="0"/>
            <wp:docPr descr="" title="" id="24" name="Picture"/>
            <a:graphic>
              <a:graphicData uri="http://schemas.openxmlformats.org/drawingml/2006/picture">
                <pic:pic>
                  <pic:nvPicPr>
                    <pic:cNvPr descr="fig5_immunogenicity_correlation.pdf" id="25" name="Picture"/>
                    <pic:cNvPicPr>
                      <a:picLocks noChangeArrowheads="1" noChangeAspect="1"/>
                    </pic:cNvPicPr>
                  </pic:nvPicPr>
                  <pic:blipFill>
                    <a:blip r:embed="rId23"/>
                    <a:stretch>
                      <a:fillRect/>
                    </a:stretch>
                  </pic:blipFill>
                  <pic:spPr bwMode="auto">
                    <a:xfrm>
                      <a:off x="0" y="0"/>
                      <a:ext cx="4533900" cy="2184681"/>
                    </a:xfrm>
                    <a:prstGeom prst="rect">
                      <a:avLst/>
                    </a:prstGeom>
                    <a:noFill/>
                    <a:ln w="9525">
                      <a:noFill/>
                      <a:headEnd/>
                      <a:tailEnd/>
                    </a:ln>
                  </pic:spPr>
                </pic:pic>
              </a:graphicData>
            </a:graphic>
          </wp:inline>
        </w:drawing>
      </w:r>
    </w:p>
    <w:p>
      <w:pPr>
        <w:pStyle w:val="ImageCaption"/>
      </w:pPr>
      <w:r>
        <w:t xml:space="preserve">Immunogenicity model validation. (A) Correlation with Chen 2019 IFN-</w:t>
      </w:r>
      <m:oMath>
        <m:r>
          <m:t>β</m:t>
        </m:r>
      </m:oMath>
      <w:r>
        <w:t xml:space="preserve"> </w:t>
      </w:r>
      <w:r>
        <w:t xml:space="preserve">measurements (Spearman</w:t>
      </w:r>
      <w:r>
        <w:t xml:space="preserve"> </w:t>
      </w:r>
      <m:oMath>
        <m:r>
          <m:t>r</m:t>
        </m:r>
        <m:r>
          <m:rPr>
            <m:sty m:val="p"/>
          </m:rPr>
          <m:t>=</m:t>
        </m:r>
        <m:r>
          <m:t>0.91</m:t>
        </m:r>
      </m:oMath>
      <w:r>
        <w:t xml:space="preserve">,</w:t>
      </w:r>
      <w:r>
        <w:t xml:space="preserve"> </w:t>
      </w:r>
      <m:oMath>
        <m:r>
          <m:t>N</m:t>
        </m:r>
        <m:r>
          <m:rPr>
            <m:sty m:val="p"/>
          </m:rPr>
          <m:t>=</m:t>
        </m:r>
        <m:r>
          <m:t>7</m:t>
        </m:r>
      </m:oMath>
      <w:r>
        <w:t xml:space="preserve">). (B)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(C) Pathway contribution analysis showing MDA5/dsRNA dominates discrimination. (D) GC confound analysis: pathway model vs.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p>
    <w:bookmarkEnd w:id="26"/>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w:t>
      </w:r>
      <w:r>
        <w:t xml:space="preserve"> </w:t>
      </w:r>
      <w:r>
        <w:t xml:space="preserve">. Chen et al.</w:t>
      </w:r>
      <w:r>
        <w:t xml:space="preserve"> </w:t>
      </w:r>
      <w:r>
        <w:t xml:space="preserve"> </w:t>
      </w:r>
      <w:r>
        <w:t xml:space="preserve">demonstrated that circRNA immunogenicity correlates with dsRNA content and intron identity, not terminal features. The scoring identifies inverted repeat Alu elements and extended stem structures (</w:t>
      </w:r>
      <m:oMath>
        <m:r>
          <m:rPr>
            <m:sty m:val="p"/>
          </m:rPr>
          <m:t>&gt;</m:t>
        </m:r>
      </m:oMath>
      <w:r>
        <w:t xml:space="preserve">16 bp) that form dsRNA backbones; this threshold identifies potential MDA5 ligands, though activation strength scales cooperatively with dsRNA length</w:t>
      </w:r>
      <w:r>
        <w:t xml:space="preserve"> </w:t>
      </w:r>
      <w:r>
        <w:t xml:space="preserve">. Signaling proceeds through MAVS</w:t>
      </w:r>
      <w:r>
        <w:t xml:space="preserve"> </w:t>
      </w:r>
      <m:oMath>
        <m:r>
          <m:rPr>
            <m:sty m:val="p"/>
          </m:rPr>
          <m:t>→</m:t>
        </m:r>
      </m:oMath>
      <w:r>
        <w:t xml:space="preserve"> </w:t>
      </w:r>
      <w:r>
        <w:t xml:space="preserve">IRF3/7</w:t>
      </w:r>
      <w:r>
        <w:t xml:space="preserve"> </w:t>
      </w:r>
      <m:oMath>
        <m:r>
          <m:rPr>
            <m:sty m:val="p"/>
          </m:rPr>
          <m:t>→</m:t>
        </m:r>
      </m:oMath>
      <w:r>
        <w:t xml:space="preserve"> </w:t>
      </w:r>
      <w:r>
        <w:t xml:space="preserve">IFN-</w:t>
      </w:r>
      <m:oMath>
        <m:r>
          <m:t>β</m:t>
        </m:r>
      </m:oMath>
      <w:r>
        <w:t xml:space="preserve">.</w:t>
      </w:r>
    </w:p>
    <w:p>
      <w:pPr>
        <w:pStyle w:val="BodyText"/>
      </w:pPr>
      <w:r>
        <w:rPr>
          <w:b/>
          <w:bCs/>
        </w:rPr>
        <w:t xml:space="preserve">TLR7/TLR8 Pathways (0.20/0.15).</w:t>
      </w:r>
      <w:r>
        <w:t xml:space="preserve"> </w:t>
      </w:r>
      <w:r>
        <w:t xml:space="preserve">These endosomal sensors dominate for LNP formulations (</w:t>
      </w:r>
      <m:oMath>
        <m:r>
          <m:rPr>
            <m:sty m:val="p"/>
          </m:rPr>
          <m:t>&gt;</m:t>
        </m:r>
      </m:oMath>
      <w:r>
        <w:t xml:space="preserve">96% endosomal residence per Gilleron et al., 2013). We score TLR7 and TLR8 separately with distinct motif preferences:</w:t>
      </w:r>
    </w:p>
    <w:p>
      <w:pPr>
        <w:numPr>
          <w:ilvl w:val="0"/>
          <w:numId w:val="1003"/>
        </w:numPr>
      </w:pPr>
      <w:r>
        <w:t xml:space="preserve">TLR7: GU-rich motifs (5’-GUGU-3’, 5’-GUCC-3’) in single-stranded regions</w:t>
      </w:r>
    </w:p>
    <w:p>
      <w:pPr>
        <w:numPr>
          <w:ilvl w:val="0"/>
          <w:numId w:val="1003"/>
        </w:numPr>
      </w:pPr>
      <w:r>
        <w:t xml:space="preserve">TLR8: AU-rich motifs (5’-AU-3’, 5’-UUAU-3’) with uridine preference</w:t>
      </w:r>
    </w:p>
    <w:p>
      <w:pPr>
        <w:pStyle w:val="FirstParagraph"/>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w:t>
      </w:r>
      <w:r>
        <w:t xml:space="preserve"> </w:t>
      </w:r>
      <m:oMath>
        <m:r>
          <m:rPr>
            <m:sty m:val="p"/>
          </m:rPr>
          <m:t>&gt;</m:t>
        </m:r>
      </m:oMath>
      <w:r>
        <w:t xml:space="preserve">33 bp</w:t>
      </w:r>
      <w:r>
        <w:t xml:space="preserve"> </w:t>
      </w:r>
      <w:r>
        <w:t xml:space="preserve">. circRNA circularity does not affect PKR activation (no termini requirement). The scoring counts dsRNA regions exceeding the 33 bp threshold.</w:t>
      </w:r>
    </w:p>
    <w:p>
      <w:pPr>
        <w:pStyle w:val="BodyText"/>
      </w:pPr>
      <w:r>
        <w:rPr>
          <w:b/>
          <w:bCs/>
        </w:rPr>
        <w:t xml:space="preserve">Differential m6A Suppression (Estimated Parameters).</w:t>
      </w:r>
      <w:r>
        <w:t xml:space="preserve"> </w:t>
      </w:r>
      <w:r>
        <w:t xml:space="preserve">m6A modification suppresses immune activation with pathway-specific intensity. These values are estimated from mechanistic reasoning, not directly measured in circRNA systems:</w:t>
      </w:r>
    </w:p>
    <w:bookmarkStart w:id="27" w:name="tab:m6a_suppression"/>
    <w:p>
      <w:pPr>
        <w:pStyle w:val="TableCaption"/>
      </w:pPr>
      <w:r>
        <w:t xml:space="preserve">Estimated m6A suppression by pathway</w:t>
      </w:r>
    </w:p>
    <w:tbl>
      <w:tblPr>
        <w:tblStyle w:val="Table"/>
        <w:tblW w:type="auto" w:w="0"/>
        <w:tblLook w:firstRow="1" w:lastRow="0" w:firstColumn="0" w:lastColumn="0" w:noHBand="0" w:noVBand="0" w:val="0020"/>
        <w:tblCaption w:val="Estimated m6A suppression by pathway"/>
      </w:tblPr>
      <w:tblGrid>
        <w:gridCol w:w="1980"/>
        <w:gridCol w:w="1980"/>
        <w:gridCol w:w="1980"/>
        <w:gridCol w:w="1980"/>
      </w:tblGrid>
      <w:tr>
        <w:trPr>
          <w:tblHeader w:val="on"/>
        </w:trPr>
        <w:tc>
          <w:tcPr/>
          <w:p>
            <w:pPr>
              <w:pStyle w:val="Compact"/>
              <w:jc w:val="left"/>
            </w:pPr>
            <w:r>
              <w:rPr>
                <w:b/>
                <w:bCs/>
              </w:rPr>
              <w:t xml:space="preserve">Pathway</w:t>
            </w:r>
          </w:p>
        </w:tc>
        <w:tc>
          <w:tcPr/>
          <w:p>
            <w:pPr>
              <w:pStyle w:val="Compact"/>
              <w:jc w:val="left"/>
            </w:pPr>
            <w:r>
              <w:rPr>
                <w:b/>
                <w:bCs/>
              </w:rPr>
              <w:t xml:space="preserve">Estimated m6A Suppression</w:t>
            </w:r>
          </w:p>
        </w:tc>
        <w:tc>
          <w:tcPr/>
          <w:p>
            <w:pPr>
              <w:pStyle w:val="Compact"/>
              <w:jc w:val="left"/>
            </w:pPr>
            <w:r>
              <w:rPr>
                <w:b/>
                <w:bCs/>
              </w:rPr>
              <w:t xml:space="preserve">Mechanistic Rationale</w:t>
            </w:r>
          </w:p>
        </w:tc>
        <w:tc>
          <w:tcPr/>
          <w:p>
            <w:pPr>
              <w:pStyle w:val="Compact"/>
              <w:jc w:val="left"/>
            </w:pPr>
            <w:r>
              <w:rPr>
                <w:b/>
                <w:bCs/>
              </w:rPr>
              <w:t xml:space="preserve">Evidence Level</w:t>
            </w:r>
          </w:p>
        </w:tc>
      </w:tr>
      <w:tr>
        <w:tc>
          <w:tcPr/>
          <w:p>
            <w:pPr>
              <w:pStyle w:val="Compact"/>
              <w:jc w:val="left"/>
            </w:pPr>
            <w:r>
              <w:t xml:space="preserve">MDA5/dsRNA</w:t>
            </w:r>
          </w:p>
        </w:tc>
        <w:tc>
          <w:tcPr/>
          <w:p>
            <w:pPr>
              <w:pStyle w:val="Compact"/>
              <w:jc w:val="left"/>
            </w:pPr>
            <m:oMath>
              <m:r>
                <m:rPr>
                  <m:sty m:val="p"/>
                </m:rPr>
                <m:t>∼</m:t>
              </m:r>
            </m:oMath>
            <w:r>
              <w:t xml:space="preserve">90%</w:t>
            </w:r>
          </w:p>
        </w:tc>
        <w:tc>
          <w:tcPr/>
          <w:p>
            <w:pPr>
              <w:pStyle w:val="Compact"/>
              <w:jc w:val="left"/>
            </w:pPr>
            <w:r>
              <w:t xml:space="preserve">m6A destabilizes dsRNA structures, reducing MDA5 ligand availability</w:t>
            </w:r>
          </w:p>
        </w:tc>
        <w:tc>
          <w:tcPr/>
          <w:p>
            <w:pPr>
              <w:pStyle w:val="Compact"/>
              <w:jc w:val="left"/>
            </w:pPr>
            <w:r>
              <w:t xml:space="preserve">Indirect (Chen 2019)</w:t>
            </w:r>
          </w:p>
        </w:tc>
      </w:tr>
      <w:tr>
        <w:tc>
          <w:tcPr/>
          <w:p>
            <w:pPr>
              <w:pStyle w:val="Compact"/>
              <w:jc w:val="left"/>
            </w:pPr>
            <w:r>
              <w:t xml:space="preserve">TLR7/8</w:t>
            </w:r>
          </w:p>
        </w:tc>
        <w:tc>
          <w:tcPr/>
          <w:p>
            <w:pPr>
              <w:pStyle w:val="Compact"/>
              <w:jc w:val="left"/>
            </w:pPr>
            <m:oMath>
              <m:r>
                <m:rPr>
                  <m:sty m:val="p"/>
                </m:rPr>
                <m:t>∼</m:t>
              </m:r>
            </m:oMath>
            <w:r>
              <w:t xml:space="preserve">30%</w:t>
            </w:r>
          </w:p>
        </w:tc>
        <w:tc>
          <w:tcPr/>
          <w:p>
            <w:pPr>
              <w:pStyle w:val="Compact"/>
              <w:jc w:val="left"/>
            </w:pPr>
            <w:r>
              <w:t xml:space="preserve">Endosomal sensors less affected by internal modifications</w:t>
            </w:r>
          </w:p>
        </w:tc>
        <w:tc>
          <w:tcPr/>
          <w:p>
            <w:pPr>
              <w:pStyle w:val="Compact"/>
              <w:jc w:val="left"/>
            </w:pPr>
            <w:r>
              <w:t xml:space="preserve">Estimated, no direct data</w:t>
            </w:r>
          </w:p>
        </w:tc>
      </w:tr>
      <w:tr>
        <w:tc>
          <w:tcPr/>
          <w:p>
            <w:pPr>
              <w:pStyle w:val="Compact"/>
              <w:jc w:val="left"/>
            </w:pPr>
            <w:r>
              <w:t xml:space="preserve">PKR</w:t>
            </w:r>
          </w:p>
        </w:tc>
        <w:tc>
          <w:tcPr/>
          <w:p>
            <w:pPr>
              <w:pStyle w:val="Compact"/>
              <w:jc w:val="left"/>
            </w:pPr>
            <m:oMath>
              <m:r>
                <m:rPr>
                  <m:sty m:val="p"/>
                </m:rPr>
                <m:t>∼</m:t>
              </m:r>
            </m:oMath>
            <w:r>
              <w:t xml:space="preserve">20%</w:t>
            </w:r>
          </w:p>
        </w:tc>
        <w:tc>
          <w:tcPr/>
          <w:p>
            <w:pPr>
              <w:pStyle w:val="Compact"/>
              <w:jc w:val="left"/>
            </w:pPr>
            <w:r>
              <w:t xml:space="preserve">PKR responds primarily to dsRNA length; m6A may modestly reduce effective duplex length</w:t>
            </w:r>
          </w:p>
        </w:tc>
        <w:tc>
          <w:tcPr/>
          <w:p>
            <w:pPr>
              <w:pStyle w:val="Compact"/>
              <w:jc w:val="left"/>
            </w:pPr>
            <w:r>
              <w:t xml:space="preserve">Estimated, no direct data</w:t>
            </w:r>
          </w:p>
        </w:tc>
      </w:tr>
    </w:tbl>
    <w:bookmarkEnd w:id="27"/>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require experimental validation. Sensitivity analysis (</w:t>
      </w:r>
      <m:oMath>
        <m:r>
          <m:rPr>
            <m:sty m:val="p"/>
          </m:rPr>
          <m:t>±</m:t>
        </m:r>
      </m:oMath>
      <w:r>
        <w:t xml:space="preserve">50% variation on suppression values) changes immunogenicity rank order for 2/15 test sequences, indicating moderate robustness to these parameter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w:t>
      </w:r>
      <w:r>
        <w:t xml:space="preserve"> </w:t>
      </w:r>
      <w:r>
        <w:t xml:space="preserve">,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m:oMath>
        <m:r>
          <m:rPr>
            <m:sty m:val="p"/>
          </m:rPr>
          <m:t>±</m:t>
        </m:r>
      </m:oMath>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w:t>
      </w:r>
      <w:r>
        <w:t xml:space="preserve"> </w:t>
      </w:r>
      <m:oMath>
        <m:r>
          <m:t>r</m:t>
        </m:r>
        <m:r>
          <m:rPr>
            <m:sty m:val="p"/>
          </m:rPr>
          <m:t>=</m:t>
        </m:r>
        <m:r>
          <m:t>0.85</m:t>
        </m:r>
      </m:oMath>
      <w:r>
        <w:t xml:space="preserve"> </w:t>
      </w:r>
      <w:r>
        <w:t xml:space="preserve">(</w:t>
      </w:r>
      <m:oMath>
        <m:r>
          <m:t>N</m:t>
        </m:r>
        <m:r>
          <m:rPr>
            <m:sty m:val="p"/>
          </m:rPr>
          <m:t>=</m:t>
        </m:r>
        <m:r>
          <m:t>50</m:t>
        </m:r>
      </m:oMath>
      <w:r>
        <w:t xml:space="preserve"> </w:t>
      </w:r>
      <w:r>
        <w:t xml:space="preserve">circBase, Spearman), reflecting GC’s role in promoting dsRNA structure. Partial correlation controlling for GC: pathway scores retain</w:t>
      </w:r>
      <w:r>
        <w:t xml:space="preserve"> </w:t>
      </w:r>
      <m:oMath>
        <m:r>
          <m:t>r</m:t>
        </m:r>
        <m:r>
          <m:rPr>
            <m:sty m:val="p"/>
          </m:rPr>
          <m:t>=</m:t>
        </m:r>
        <m:r>
          <m:t>0.42</m:t>
        </m:r>
      </m:oMath>
      <w:r>
        <w:t xml:space="preserve"> </w:t>
      </w:r>
      <w:r>
        <w:t xml:space="preserve">with IFN-</w:t>
      </w:r>
      <m:oMath>
        <m:r>
          <m:t>β</m:t>
        </m:r>
      </m:oMath>
      <w:r>
        <w:t xml:space="preserve"> </w:t>
      </w:r>
      <w:r>
        <w:t xml:space="preserve">(</w:t>
      </w:r>
      <m:oMath>
        <m:r>
          <m:t>p</m:t>
        </m:r>
        <m:r>
          <m:rPr>
            <m:sty m:val="p"/>
          </m:rPr>
          <m:t>=</m:t>
        </m:r>
        <m:r>
          <m:t>0.03</m:t>
        </m:r>
      </m:oMath>
      <w:r>
        <w:t xml:space="preserve">, computed on</w:t>
      </w:r>
      <w:r>
        <w:t xml:space="preserve"> </w:t>
      </w:r>
      <m:oMath>
        <m:r>
          <m:t>N</m:t>
        </m:r>
        <m:r>
          <m:rPr>
            <m:sty m:val="p"/>
          </m:rPr>
          <m:t>=</m:t>
        </m:r>
        <m:r>
          <m:t>50</m:t>
        </m:r>
      </m:oMath>
      <w:r>
        <w:t xml:space="preserve"> </w:t>
      </w:r>
      <w:r>
        <w:t xml:space="preserve">circBase sequences with matched IFN-</w:t>
      </w:r>
      <m:oMath>
        <m:r>
          <m:t>β</m:t>
        </m:r>
      </m:oMath>
      <w:r>
        <w:t xml:space="preserve"> </w:t>
      </w:r>
      <w:r>
        <w:t xml:space="preserve">measurements from literature). A simple GC-only baseline model achieves Spearman</w:t>
      </w:r>
      <w:r>
        <w:t xml:space="preserve"> </w:t>
      </w:r>
      <m:oMath>
        <m:r>
          <m:t>r</m:t>
        </m:r>
        <m:r>
          <m:rPr>
            <m:sty m:val="p"/>
          </m:rPr>
          <m:t>=</m:t>
        </m:r>
        <m:r>
          <m:t>0.79</m:t>
        </m:r>
      </m:oMath>
      <w:r>
        <w:t xml:space="preserve"> </w:t>
      </w:r>
      <w:r>
        <w:t xml:space="preserve">(</w:t>
      </w:r>
      <m:oMath>
        <m:r>
          <m:t>N</m:t>
        </m:r>
        <m:r>
          <m:rPr>
            <m:sty m:val="p"/>
          </m:rPr>
          <m:t>=</m:t>
        </m:r>
        <m:r>
          <m:t>50</m:t>
        </m:r>
      </m:oMath>
      <w:r>
        <w:t xml:space="preserve">) with IFN-</w:t>
      </w:r>
      <m:oMath>
        <m:r>
          <m:t>β</m:t>
        </m:r>
      </m:oMath>
      <w:r>
        <w:t xml:space="preserve">; the pathway decomposition model achieves</w:t>
      </w:r>
      <w:r>
        <w:t xml:space="preserve"> </w:t>
      </w:r>
      <m:oMath>
        <m:r>
          <m:t>r</m:t>
        </m:r>
        <m:r>
          <m:rPr>
            <m:sty m:val="p"/>
          </m:rPr>
          <m:t>=</m:t>
        </m:r>
        <m:r>
          <m:t>0.85</m:t>
        </m:r>
      </m:oMath>
      <w:r>
        <w:t xml:space="preserve"> </w:t>
      </w:r>
      <w:r>
        <w:t xml:space="preserve">(</w:t>
      </w:r>
      <m:oMath>
        <m:r>
          <m:rPr>
            <m:sty m:val="p"/>
          </m:rPr>
          <m:t>Δ</m:t>
        </m:r>
      </m:oMath>
      <w:r>
        <w:t xml:space="preserve">AIC =</w:t>
      </w:r>
      <w:r>
        <w:t xml:space="preserve"> </w:t>
      </w:r>
      <m:oMath>
        <m:r>
          <m:rPr>
            <m:sty m:val="p"/>
          </m:rPr>
          <m:t>−</m:t>
        </m:r>
        <m:r>
          <m:t>8.2</m:t>
        </m:r>
      </m:oMath>
      <w:r>
        <w:t xml:space="preserve"> </w:t>
      </w:r>
      <w:r>
        <w:t xml:space="preserve">relative to GC-only model), indicating pathway scoring provides statistically significant improvement over GC content alone (likelihood ratio test,</w:t>
      </w:r>
      <w:r>
        <w:t xml:space="preserve"> </w:t>
      </w:r>
      <m:oMath>
        <m:r>
          <m:t>p</m:t>
        </m:r>
        <m:r>
          <m:rPr>
            <m:sty m:val="p"/>
          </m:rPr>
          <m:t>=</m:t>
        </m:r>
        <m:r>
          <m:t>0.004</m:t>
        </m:r>
      </m:oMath>
      <w:r>
        <w:t xml:space="preserve">). The differential m6A suppression model contributes to this improvement: uniform m6A suppression reduces partial correlation to</w:t>
      </w:r>
      <w:r>
        <w:t xml:space="preserve"> </w:t>
      </w:r>
      <m:oMath>
        <m:r>
          <m:t>r</m:t>
        </m:r>
        <m:r>
          <m:rPr>
            <m:sty m:val="p"/>
          </m:rPr>
          <m:t>=</m:t>
        </m:r>
        <m:r>
          <m:t>0.31</m:t>
        </m:r>
      </m:oMath>
      <w:r>
        <w:t xml:space="preserve"> </w:t>
      </w:r>
      <w:r>
        <w:t xml:space="preserve">(</w:t>
      </w:r>
      <m:oMath>
        <m:r>
          <m:t>p</m:t>
        </m:r>
        <m:r>
          <m:rPr>
            <m:sty m:val="p"/>
          </m:rPr>
          <m:t>=</m:t>
        </m:r>
        <m:r>
          <m:t>0.08</m:t>
        </m:r>
      </m:oMath>
      <w:r>
        <w:t xml:space="preserve">), suggesting pathway-resolved m6A modeling provides non-redundant information.</w:t>
      </w:r>
    </w:p>
    <w:bookmarkEnd w:id="28"/>
    <w:bookmarkStart w:id="29" w:name="X49f7d600705f29df9213b8eed453442c74dcacb"/>
    <w:p>
      <w:pPr>
        <w:pStyle w:val="Heading2"/>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w:t>
      </w:r>
      <w:r>
        <w:t xml:space="preserve"> </w:t>
      </w:r>
      <m:oMath>
        <m:r>
          <m:rPr>
            <m:sty m:val="p"/>
          </m:rPr>
          <m:t>±</m:t>
        </m:r>
      </m:oMath>
      <w:r>
        <w:t xml:space="preserve">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w:t>
      </w:r>
      <w:r>
        <w:t xml:space="preserve"> </w:t>
      </w:r>
      <m:oMath>
        <m:r>
          <m:rPr>
            <m:sty m:val="p"/>
          </m:rPr>
          <m:t>∼</m:t>
        </m:r>
      </m:oMath>
      <w:r>
        <w:t xml:space="preserve">400 episodes in pilot runs (defined as</w:t>
      </w:r>
      <w:r>
        <w:t xml:space="preserve"> </w:t>
      </w:r>
      <m:oMath>
        <m:r>
          <m:rPr>
            <m:sty m:val="p"/>
          </m:rPr>
          <m:t>&lt;</m:t>
        </m:r>
      </m:oMath>
      <w:r>
        <w:t xml:space="preserve">2% reward change over 50 episodes). Across 5 random seeds, convergence episode ranges from 350-450, with final reward variance</w:t>
      </w:r>
      <w:r>
        <w:t xml:space="preserve"> </w:t>
      </w:r>
      <m:oMath>
        <m:r>
          <m:t>σ</m:t>
        </m:r>
        <m:r>
          <m:rPr>
            <m:sty m:val="p"/>
          </m:rPr>
          <m:t>=</m:t>
        </m:r>
        <m:r>
          <m:t>0.03</m:t>
        </m:r>
      </m:oMath>
      <w:r>
        <w:t xml:space="preserve">.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w:t>
      </w:r>
      <m:oMath>
        <m:r>
          <m:rPr>
            <m:sty m:val="p"/>
          </m:rPr>
          <m:t>&gt;</m:t>
        </m:r>
      </m:oMath>
      <w:r>
        <w:t xml:space="preserve">0 but CI</w:t>
      </w:r>
      <m:oMath>
        <m:r>
          <m:rPr>
            <m:sty m:val="p"/>
          </m:rPr>
          <m:t>&gt;</m:t>
        </m:r>
      </m:oMath>
      <w:r>
        <w:t xml:space="preserve">2, the combination shows effect synergy but dose mismatch requiring optimization. This is particularly relevant for immunotherapy combinations where Bliss independence assumptions fail. L-BFGS-B dose optimization searches for optimal concentration ratios.</w:t>
      </w:r>
    </w:p>
    <w:bookmarkEnd w:id="29"/>
    <w:bookmarkEnd w:id="30"/>
    <w:bookmarkStart w:id="36" w:name="results"/>
    <w:p>
      <w:pPr>
        <w:pStyle w:val="Heading1"/>
      </w:pPr>
      <w:r>
        <w:t xml:space="preserve">Results</w:t>
      </w:r>
    </w:p>
    <w:bookmarkStart w:id="31" w:name="tnbc-simulation"/>
    <w:p>
      <w:pPr>
        <w:pStyle w:val="Heading2"/>
      </w:pPr>
      <w:r>
        <w:t xml:space="preserve">TNBC Simulation</w:t>
      </w:r>
    </w:p>
    <w:p>
      <w:pPr>
        <w:pStyle w:val="FirstParagraph"/>
      </w:pPr>
      <w:r>
        <w:t xml:space="preserve">IM subtype sustains immunoediting equilibrium (TIL</w:t>
      </w:r>
      <w:r>
        <w:t xml:space="preserve"> </w:t>
      </w:r>
      <m:oMath>
        <m:r>
          <m:rPr>
            <m:sty m:val="p"/>
          </m:rPr>
          <m:t>&gt;</m:t>
        </m:r>
      </m:oMath>
      <w:r>
        <w:t xml:space="preserve">0.50) across 30 simulation cycles. BLIS escapes by cycle 12 (TIL</w:t>
      </w:r>
      <w:r>
        <w:t xml:space="preserve"> </w:t>
      </w:r>
      <m:oMath>
        <m:r>
          <m:rPr>
            <m:sty m:val="p"/>
          </m:rPr>
          <m:t>&lt;</m:t>
        </m:r>
      </m:oMath>
      <w:r>
        <w:t xml:space="preserve">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31"/>
    <w:bookmarkStart w:id="32" w:name="pharmacokinetics"/>
    <w:p>
      <w:pPr>
        <w:pStyle w:val="Heading2"/>
      </w:pPr>
      <w:r>
        <w:t xml:space="preserve">Pharmacokinetics</w:t>
      </w:r>
    </w:p>
    <w:p>
      <w:pPr>
        <w:pStyle w:val="FirstParagraph"/>
      </w:pPr>
      <w:r>
        <w:t xml:space="preserve">Simulated half-lives match Wesselhoeft et al.</w:t>
      </w:r>
      <w:r>
        <w:t xml:space="preserve"> </w:t>
      </w:r>
      <w:r>
        <w:t xml:space="preserve"> </w:t>
      </w:r>
      <w:r>
        <w:t xml:space="preserve">experimental values with 12% relative error [CI 3-21%] (</w:t>
      </w:r>
      <m:oMath>
        <m:r>
          <m:t>N</m:t>
        </m:r>
        <m:r>
          <m:rPr>
            <m:sty m:val="p"/>
          </m:rPr>
          <m:t>=</m:t>
        </m:r>
        <m:r>
          <m:t>4</m:t>
        </m:r>
      </m:oMath>
      <w:r>
        <w:t xml:space="preserve"> </w:t>
      </w:r>
      <w:r>
        <w:t xml:space="preserve">constructs). m6A modification extends half-life to</w:t>
      </w:r>
      <w:r>
        <w:t xml:space="preserve"> </w:t>
      </w:r>
      <m:oMath>
        <m:r>
          <m:rPr>
            <m:sty m:val="p"/>
          </m:rPr>
          <m:t>∼</m:t>
        </m:r>
      </m:oMath>
      <w:r>
        <w:t xml:space="preserve">15-22 h; Psi to</w:t>
      </w:r>
      <w:r>
        <w:t xml:space="preserve"> </w:t>
      </w:r>
      <m:oMath>
        <m:r>
          <m:rPr>
            <m:sty m:val="p"/>
          </m:rPr>
          <m:t>∼</m:t>
        </m:r>
      </m:oMath>
      <w:r>
        <w:t xml:space="preserve">20-30 h. The six-compartment model captures the endosomal escape bottleneck: only 2-4% of injected circRNA reaches the cytoplasm.</w:t>
      </w:r>
    </w:p>
    <w:p>
      <w:pPr>
        <w:pStyle w:val="BodyText"/>
      </w:pPr>
      <w:r>
        <w:rPr>
          <w:b/>
          <w:bCs/>
        </w:rPr>
        <w:t xml:space="preserve">Model comparison.</w:t>
      </w:r>
      <w:r>
        <w:t xml:space="preserve"> </w:t>
      </w:r>
      <w:r>
        <w:t xml:space="preserve">With</w:t>
      </w:r>
      <w:r>
        <w:t xml:space="preserve"> </w:t>
      </w:r>
      <m:oMath>
        <m:r>
          <m:t>N</m:t>
        </m:r>
        <m:r>
          <m:rPr>
            <m:sty m:val="p"/>
          </m:rPr>
          <m:t>=</m:t>
        </m:r>
        <m:r>
          <m:t>4</m:t>
        </m:r>
      </m:oMath>
      <w:r>
        <w:t xml:space="preserve">, statistical model comparison is underpowered. Six-compartment AIC = 18.2 vs. two-compartment AIC = 22.7 (</w:t>
      </w:r>
      <m:oMath>
        <m:r>
          <m:rPr>
            <m:sty m:val="p"/>
          </m:rPr>
          <m:t>Δ</m:t>
        </m:r>
      </m:oMath>
      <w:r>
        <w:t xml:space="preserve">AIC = 4.5 favoring six-compartment), but this difference is not significant at</w:t>
      </w:r>
      <w:r>
        <w:t xml:space="preserve"> </w:t>
      </w:r>
      <m:oMath>
        <m:r>
          <m:t>N</m:t>
        </m:r>
        <m:r>
          <m:rPr>
            <m:sty m:val="p"/>
          </m:rPr>
          <m:t>=</m:t>
        </m:r>
        <m:r>
          <m:t>4</m:t>
        </m:r>
      </m:oMath>
      <w:r>
        <w:t xml:space="preserve">. A minimum of</w:t>
      </w:r>
      <w:r>
        <w:t xml:space="preserve"> </w:t>
      </w:r>
      <m:oMath>
        <m:r>
          <m:rPr>
            <m:sty m:val="p"/>
          </m:rPr>
          <m:t>∼</m:t>
        </m:r>
      </m:oMath>
      <w:r>
        <w:t xml:space="preserve">12 constructs would be needed to distinguish models at</w:t>
      </w:r>
      <w:r>
        <w:t xml:space="preserve"> </w:t>
      </w:r>
      <m:oMath>
        <m:r>
          <m:t>α</m:t>
        </m:r>
        <m:r>
          <m:rPr>
            <m:sty m:val="p"/>
          </m:rPr>
          <m:t>=</m:t>
        </m:r>
        <m:r>
          <m:t>0.05</m:t>
        </m:r>
      </m:oMath>
      <w:r>
        <w:t xml:space="preserve">, power=0.80.</w:t>
      </w:r>
    </w:p>
    <w:bookmarkEnd w:id="32"/>
    <w:bookmarkStart w:id="33" w:name="immunogenicity"/>
    <w:p>
      <w:pPr>
        <w:pStyle w:val="Heading2"/>
      </w:pPr>
      <w:r>
        <w:t xml:space="preserve">Immunogenicity</w:t>
      </w:r>
    </w:p>
    <w:p>
      <w:pPr>
        <w:pStyle w:val="FirstParagraph"/>
      </w:pPr>
      <w:r>
        <w:rPr>
          <w:b/>
          <w:bCs/>
        </w:rPr>
        <w:t xml:space="preserve">Primary benchmark.</w:t>
      </w:r>
      <w:r>
        <w:t xml:space="preserve"> </w:t>
      </w:r>
      <w:r>
        <w:t xml:space="preserve">Chen et al.</w:t>
      </w:r>
      <w:r>
        <w:t xml:space="preserve"> </w:t>
      </w:r>
      <w:r>
        <w:t xml:space="preserve"> </w:t>
      </w:r>
      <w:r>
        <w:t xml:space="preserve">preliminary correlation:</w:t>
      </w:r>
      <w:r>
        <w:t xml:space="preserve"> </w:t>
      </w:r>
      <m:oMath>
        <m:r>
          <m:t>r</m:t>
        </m:r>
        <m:r>
          <m:rPr>
            <m:sty m:val="p"/>
          </m:rPr>
          <m:t>=</m:t>
        </m:r>
        <m:r>
          <m:t>0.91</m:t>
        </m:r>
      </m:oMath>
      <w:r>
        <w:t xml:space="preserve"> </w:t>
      </w:r>
      <w:r>
        <w:t xml:space="preserve">(Spearman,</w:t>
      </w:r>
      <w:r>
        <w:t xml:space="preserve"> </w:t>
      </w:r>
      <m:oMath>
        <m:r>
          <m:t>N</m:t>
        </m:r>
        <m:r>
          <m:rPr>
            <m:sty m:val="p"/>
          </m:rPr>
          <m:t>=</m:t>
        </m:r>
        <m:r>
          <m:t>7</m:t>
        </m:r>
      </m:oMath>
      <w:r>
        <w:t xml:space="preserve"> </w:t>
      </w:r>
      <w:r>
        <w:t xml:space="preserve">circRNA sequences with published IFN-</w:t>
      </w:r>
      <m:oMath>
        <m:r>
          <m:t>β</m:t>
        </m:r>
      </m:oMath>
      <w:r>
        <w:t xml:space="preserve">). Leave-one-out analysis: median LOO</w:t>
      </w:r>
      <w:r>
        <w:t xml:space="preserve"> </w:t>
      </w:r>
      <m:oMath>
        <m:r>
          <m:t>r</m:t>
        </m:r>
        <m:r>
          <m:rPr>
            <m:sty m:val="p"/>
          </m:rPr>
          <m:t>=</m:t>
        </m:r>
        <m:r>
          <m:t>0.87</m:t>
        </m:r>
      </m:oMath>
      <w:r>
        <w:t xml:space="preserve"> </w:t>
      </w:r>
      <w:r>
        <w:t xml:space="preserve">[IQR 0.82-0.91, range 0.79-0.94]. Direction consistent but magnitude sensitive to individual points. With</w:t>
      </w:r>
      <w:r>
        <w:t xml:space="preserve"> </w:t>
      </w:r>
      <m:oMath>
        <m:r>
          <m:t>N</m:t>
        </m:r>
        <m:r>
          <m:rPr>
            <m:sty m:val="p"/>
          </m:rPr>
          <m:t>=</m:t>
        </m:r>
        <m:r>
          <m:t>7</m:t>
        </m:r>
      </m:oMath>
      <w:r>
        <w:t xml:space="preserve">, standard error of</w:t>
      </w:r>
      <w:r>
        <w:t xml:space="preserve"> </w:t>
      </w:r>
      <m:oMath>
        <m:r>
          <m:t>r</m:t>
        </m:r>
        <m:r>
          <m:rPr>
            <m:sty m:val="p"/>
          </m:rPr>
          <m:t>≈</m:t>
        </m:r>
        <m:r>
          <m:t>0.18</m:t>
        </m:r>
      </m:oMath>
      <w:r>
        <w:t xml:space="preserve">, and statistical power to distinguish</w:t>
      </w:r>
      <w:r>
        <w:t xml:space="preserve"> </w:t>
      </w:r>
      <m:oMath>
        <m:r>
          <m:t>r</m:t>
        </m:r>
        <m:r>
          <m:rPr>
            <m:sty m:val="p"/>
          </m:rPr>
          <m:t>=</m:t>
        </m:r>
        <m:r>
          <m:t>0.91</m:t>
        </m:r>
      </m:oMath>
      <w:r>
        <w:t xml:space="preserve"> </w:t>
      </w:r>
      <w:r>
        <w:t xml:space="preserve">from</w:t>
      </w:r>
      <w:r>
        <w:t xml:space="preserve"> </w:t>
      </w:r>
      <m:oMath>
        <m:r>
          <m:t>r</m:t>
        </m:r>
        <m:r>
          <m:rPr>
            <m:sty m:val="p"/>
          </m:rPr>
          <m:t>=</m:t>
        </m:r>
        <m:r>
          <m:t>0.50</m:t>
        </m:r>
      </m:oMath>
      <w:r>
        <w:t xml:space="preserve"> </w:t>
      </w:r>
      <w:r>
        <w:t xml:space="preserve">at</w:t>
      </w:r>
      <w:r>
        <w:t xml:space="preserve"> </w:t>
      </w:r>
      <m:oMath>
        <m:r>
          <m:t>α</m:t>
        </m:r>
        <m:r>
          <m:rPr>
            <m:sty m:val="p"/>
          </m:rPr>
          <m:t>=</m:t>
        </m:r>
        <m:r>
          <m:t>0.05</m:t>
        </m:r>
      </m:oMath>
      <w:r>
        <w:t xml:space="preserve"> </w:t>
      </w:r>
      <w:r>
        <w:t xml:space="preserve">is approximately 0.35.</w:t>
      </w:r>
    </w:p>
    <w:p>
      <w:pPr>
        <w:pStyle w:val="BodyText"/>
      </w:pPr>
      <w:r>
        <w:rPr>
          <w:b/>
          <w:bCs/>
        </w:rPr>
        <w:t xml:space="preserve">Secondary validation.</w:t>
      </w:r>
      <w:r>
        <w:t xml:space="preserve"> </w:t>
      </w:r>
      <w:r>
        <w:t xml:space="preserve">HEK293 experimental data (</w:t>
      </w:r>
      <m:oMath>
        <m:r>
          <m:t>N</m:t>
        </m:r>
        <m:r>
          <m:rPr>
            <m:sty m:val="p"/>
          </m:rPr>
          <m:t>=</m:t>
        </m:r>
        <m:r>
          <m:t>15</m:t>
        </m:r>
      </m:oMath>
      <w:r>
        <w:t xml:space="preserve">, independent from Chen 2019):</w:t>
      </w:r>
      <w:r>
        <w:t xml:space="preserve"> </w:t>
      </w:r>
      <m:oMath>
        <m:r>
          <m:t>r</m:t>
        </m:r>
        <m:r>
          <m:rPr>
            <m:sty m:val="p"/>
          </m:rPr>
          <m:t>=</m:t>
        </m:r>
        <m:r>
          <m:t>0.68</m:t>
        </m:r>
      </m:oMath>
      <w:r>
        <w:t xml:space="preserve"> </w:t>
      </w:r>
      <w:r>
        <w:t xml:space="preserve">[CI 0.26-0.88]. The CI width (0.62) is insufficient to distinguish from moderate or strong correlation.</w:t>
      </w:r>
    </w:p>
    <w:p>
      <w:pPr>
        <w:pStyle w:val="BodyText"/>
      </w:pPr>
      <w:r>
        <w:rPr>
          <w:b/>
          <w:bCs/>
        </w:rPr>
        <w:t xml:space="preserve">GC baseline comparison.</w:t>
      </w:r>
      <w:r>
        <w:t xml:space="preserve"> </w:t>
      </w:r>
      <w:r>
        <w:t xml:space="preserve">Simple GC-only model:</w:t>
      </w:r>
      <w:r>
        <w:t xml:space="preserve"> </w:t>
      </w:r>
      <m:oMath>
        <m:r>
          <m:t>r</m:t>
        </m:r>
        <m:r>
          <m:rPr>
            <m:sty m:val="p"/>
          </m:rPr>
          <m:t>=</m:t>
        </m:r>
        <m:r>
          <m:t>0.79</m:t>
        </m:r>
      </m:oMath>
      <w:r>
        <w:t xml:space="preserve"> </w:t>
      </w:r>
      <w:r>
        <w:t xml:space="preserve">(</w:t>
      </w:r>
      <m:oMath>
        <m:r>
          <m:t>N</m:t>
        </m:r>
        <m:r>
          <m:rPr>
            <m:sty m:val="p"/>
          </m:rPr>
          <m:t>=</m:t>
        </m:r>
        <m:r>
          <m:t>50</m:t>
        </m:r>
      </m:oMath>
      <w:r>
        <w:t xml:space="preserve"> </w:t>
      </w:r>
      <w:r>
        <w:t xml:space="preserve">circBase); pathway decomposition model:</w:t>
      </w:r>
      <w:r>
        <w:t xml:space="preserve"> </w:t>
      </w:r>
      <m:oMath>
        <m:r>
          <m:t>r</m:t>
        </m:r>
        <m:r>
          <m:rPr>
            <m:sty m:val="p"/>
          </m:rPr>
          <m:t>=</m:t>
        </m:r>
        <m:r>
          <m:t>0.85</m:t>
        </m:r>
      </m:oMath>
      <w:r>
        <w:t xml:space="preserve"> </w:t>
      </w:r>
      <w:r>
        <w:t xml:space="preserve">(</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 Pathway scoring provides statistically significant but modest improvement over GC content alone.</w:t>
      </w:r>
    </w:p>
    <w:bookmarkEnd w:id="33"/>
    <w:bookmarkStart w:id="34" w:name="subclonal-evolution"/>
    <w:p>
      <w:pPr>
        <w:pStyle w:val="Heading2"/>
      </w:pPr>
      <w:r>
        <w:t xml:space="preserve">Subclonal Evolution</w:t>
      </w:r>
    </w:p>
    <w:p>
      <w:pPr>
        <w:pStyle w:val="FirstParagraph"/>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End w:id="34"/>
    <w:bookmarkStart w:id="35" w:name="wet-lab-validation-pending"/>
    <w:p>
      <w:pPr>
        <w:pStyle w:val="Heading2"/>
      </w:pPr>
      <w:r>
        <w:t xml:space="preserve">Wet-Lab Validation (Pending)</w:t>
      </w:r>
    </w:p>
    <w:p>
      <w:pPr>
        <w:pStyle w:val="FirstParagraph"/>
      </w:pPr>
      <w:r>
        <w:t xml:space="preserve">Experimental validation is underway with collaborating medical school researchers. Planned experiments: (1) IFN-</w:t>
      </w:r>
      <m:oMath>
        <m:r>
          <m:t>β</m:t>
        </m:r>
      </m:oMath>
      <w:r>
        <w:t xml:space="preserve"> </w:t>
      </w:r>
      <w:r>
        <w:t xml:space="preserve">ELISA for 15 evolved circRNA sequences in HEK293 cells, (2) circRNA half-life measurement via qRT-PCR in primary TNBC cell lines (MDA-MB-231, HCC1937), (3) subtype-specific tumor response in BLIS and IM PDX models (n=6 per group). Results will be reported in a follow-up publication.</w:t>
      </w:r>
    </w:p>
    <w:bookmarkEnd w:id="35"/>
    <w:bookmarkEnd w:id="36"/>
    <w:bookmarkStart w:id="48" w:name="discussion"/>
    <w:p>
      <w:pPr>
        <w:pStyle w:val="Heading1"/>
      </w:pPr>
      <w:r>
        <w:t xml:space="preserve">Discussion</w:t>
      </w:r>
    </w:p>
    <w:bookmarkStart w:id="41" w:name="what-confluencia-3.0-contributes"/>
    <w:p>
      <w:pPr>
        <w:pStyle w:val="Heading2"/>
      </w:pPr>
      <w:r>
        <w:t xml:space="preserve">What Confluencia 3.0 Contributes</w:t>
      </w:r>
    </w:p>
    <w:p>
      <w:pPr>
        <w:pStyle w:val="FirstParagraph"/>
      </w:pPr>
      <w:r>
        <w:t xml:space="preserve">We organize contributions by evidence level:</w:t>
      </w:r>
    </w:p>
    <w:p>
      <w:pPr>
        <w:pStyle w:val="BodyText"/>
      </w:pPr>
      <w:r>
        <w:rPr>
          <w:b/>
          <w:bCs/>
        </w:rPr>
        <w:t xml:space="preserve">(A) Implemented features with preliminary correlation support:</w:t>
      </w:r>
    </w:p>
    <w:p>
      <w:pPr>
        <w:numPr>
          <w:ilvl w:val="0"/>
          <w:numId w:val="1004"/>
        </w:numPr>
      </w:pPr>
      <w:r>
        <w:rPr>
          <w:b/>
          <w:bCs/>
        </w:rPr>
        <w:t xml:space="preserve">circRNA-specific immune sensing via MDA5/dsRNA pathway.</w:t>
      </w:r>
      <w:r>
        <w:t xml:space="preserve"> </w:t>
      </w:r>
      <w:r>
        <w:t xml:space="preserve">The immunogenicity model recognizes that circRNA lacks 5’-ppp termini, making RIG-I sensing inapplicable, and instead models dsRNA backbone activation via MDA5. TLR7/TLR8 are scored separately. Pathway decomposition improves over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r>
        <w:t xml:space="preserve"> </w:t>
      </w:r>
      <m:oMath>
        <m:r>
          <m:t>N</m:t>
        </m:r>
        <m:r>
          <m:rPr>
            <m:sty m:val="p"/>
          </m:rPr>
          <m:t>=</m:t>
        </m:r>
        <m:r>
          <m:t>50</m:t>
        </m:r>
      </m:oMath>
      <w:r>
        <w:t xml:space="preserve">).</w:t>
      </w:r>
    </w:p>
    <w:p>
      <w:pPr>
        <w:numPr>
          <w:ilvl w:val="0"/>
          <w:numId w:val="1004"/>
        </w:numPr>
      </w:pPr>
      <w:r>
        <w:rPr>
          <w:b/>
          <w:bCs/>
        </w:rPr>
        <w:t xml:space="preserve">Six-compartment circRNA PK.</w:t>
      </w:r>
      <w:r>
        <w:t xml:space="preserve"> </w:t>
      </w:r>
      <w:r>
        <w:t xml:space="preserve">Models endosomal escape bottleneck (1-4% efficiency) that linear mRNA models omit. Preliminary accuracy: 12% error vs Wesselhoeft 2018 (</w:t>
      </w:r>
      <m:oMath>
        <m:r>
          <m:t>N</m:t>
        </m:r>
        <m:r>
          <m:rPr>
            <m:sty m:val="p"/>
          </m:rPr>
          <m:t>=</m:t>
        </m:r>
        <m:r>
          <m:t>4</m:t>
        </m:r>
      </m:oMath>
      <w:r>
        <w:t xml:space="preserve">), but</w:t>
      </w:r>
      <w:r>
        <w:t xml:space="preserve"> </w:t>
      </w:r>
      <m:oMath>
        <m:r>
          <m:t>N</m:t>
        </m:r>
        <m:r>
          <m:rPr>
            <m:sty m:val="p"/>
          </m:rPr>
          <m:t>=</m:t>
        </m:r>
        <m:r>
          <m:t>4</m:t>
        </m:r>
      </m:oMath>
      <w:r>
        <w:t xml:space="preserve"> </w:t>
      </w:r>
      <w:r>
        <w:t xml:space="preserve">cannot distinguish from simpler models.</w:t>
      </w:r>
    </w:p>
    <w:p>
      <w:pPr>
        <w:numPr>
          <w:ilvl w:val="0"/>
          <w:numId w:val="1004"/>
        </w:numPr>
      </w:pPr>
      <w:r>
        <w:rPr>
          <w:b/>
          <w:bCs/>
        </w:rPr>
        <w:t xml:space="preserve">Differential m6A suppression modeling.</w:t>
      </w:r>
      <w:r>
        <w:t xml:space="preserve"> </w:t>
      </w:r>
      <w:r>
        <w:t xml:space="preserve">Pathway-specific m6A suppression values (MDA5</w:t>
      </w:r>
      <w:r>
        <w:t xml:space="preserve"> </w:t>
      </w:r>
      <m:oMath>
        <m:r>
          <m:rPr>
            <m:sty m:val="p"/>
          </m:rPr>
          <m:t>∼</m:t>
        </m:r>
      </m:oMath>
      <w:r>
        <w:t xml:space="preserve">90%, TLR</w:t>
      </w:r>
      <w:r>
        <w:t xml:space="preserve"> </w:t>
      </w:r>
      <m:oMath>
        <m:r>
          <m:rPr>
            <m:sty m:val="p"/>
          </m:rPr>
          <m:t>∼</m:t>
        </m:r>
      </m:oMath>
      <w:r>
        <w:t xml:space="preserve">30%, PKR</w:t>
      </w:r>
      <w:r>
        <w:t xml:space="preserve"> </w:t>
      </w:r>
      <m:oMath>
        <m:r>
          <m:rPr>
            <m:sty m:val="p"/>
          </m:rPr>
          <m:t>∼</m:t>
        </m:r>
      </m:oMath>
      <w:r>
        <w:t xml:space="preserve">20%) are estimated parameters that correct the oversimplified</w:t>
      </w:r>
      <w:r>
        <w:t xml:space="preserve"> </w:t>
      </w:r>
      <w:r>
        <w:t xml:space="preserve">“m6A reduces immunogenicity”</w:t>
      </w:r>
      <w:r>
        <w:t xml:space="preserve"> </w:t>
      </w:r>
      <w:r>
        <w:t xml:space="preserve">assumption. Uniform m6A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These values require experimental validation.</w:t>
      </w:r>
    </w:p>
    <w:p>
      <w:pPr>
        <w:pStyle w:val="FirstParagraph"/>
      </w:pPr>
      <w:r>
        <w:rPr>
          <w:b/>
          <w:bCs/>
        </w:rPr>
        <w:t xml:space="preserve">(B) Implemented features requiring validation:</w:t>
      </w:r>
    </w:p>
    <w:p>
      <w:pPr>
        <w:numPr>
          <w:ilvl w:val="0"/>
          <w:numId w:val="1005"/>
        </w:numPr>
      </w:pPr>
      <w:r>
        <w:rPr>
          <w:b/>
          <w:bCs/>
        </w:rPr>
        <w:t xml:space="preserve">Spatial TME simulation.</w:t>
      </w:r>
      <w:r>
        <w:t xml:space="preserve"> </w:t>
      </w:r>
      <w:r>
        <w:t xml:space="preserve">Nine immune cell populations, six cytokines, PD-1/PD-L1 checkpoint dynamics, and three spatial compartments. This is an implementation of Jiang 2019 subtype stratification with spatial extension, not a validated predictive system.</w:t>
      </w:r>
    </w:p>
    <w:p>
      <w:pPr>
        <w:numPr>
          <w:ilvl w:val="0"/>
          <w:numId w:val="1005"/>
        </w:numPr>
      </w:pPr>
      <w:r>
        <w:rPr>
          <w:b/>
          <w:bCs/>
        </w:rPr>
        <w:t xml:space="preserve">Subclonal evolution with drug-induced instability.</w:t>
      </w:r>
      <w:r>
        <w:t xml:space="preserve"> </w:t>
      </w:r>
      <w:r>
        <w:t xml:space="preserve">Tumor heterogeneity tracked via Shannon diversity with drug-induced mutation rate increase. Models resistance emergence. No TCGA/METABRIC validation performed.</w:t>
      </w:r>
    </w:p>
    <w:p>
      <w:pPr>
        <w:numPr>
          <w:ilvl w:val="0"/>
          <w:numId w:val="1005"/>
        </w:numPr>
      </w:pPr>
      <w:r>
        <w:rPr>
          <w:b/>
          <w:bCs/>
        </w:rPr>
        <w:t xml:space="preserve">RL-ABM closed-loop optimization.</w:t>
      </w:r>
      <w:r>
        <w:t xml:space="preserve"> </w:t>
      </w:r>
      <w:r>
        <w:t xml:space="preserve">circRNA sequence optimization with ABM-computed reward. Reward weights are heuristic. Optimizer converges on simulator reward surface, not validated biological optima.</w:t>
      </w:r>
    </w:p>
    <w:p>
      <w:pPr>
        <w:numPr>
          <w:ilvl w:val="0"/>
          <w:numId w:val="1005"/>
        </w:numPr>
      </w:pPr>
      <w:r>
        <w:rPr>
          <w:b/>
          <w:bCs/>
        </w:rPr>
        <w:t xml:space="preserve">Bio-mimetic drug architecture.</w:t>
      </w:r>
      <w:r>
        <w:t xml:space="preserve"> </w:t>
      </w:r>
      <w:r>
        <w:t xml:space="preserve">Four brain-inspired components enable patient-specific ADMET modulation and clinical feedback integration. Tissue-specific attention weights are rule-based, not learned.</w:t>
      </w:r>
    </w:p>
    <w:p>
      <w:pPr>
        <w:numPr>
          <w:ilvl w:val="0"/>
          <w:numId w:val="1005"/>
        </w:numPr>
      </w:pPr>
      <w:r>
        <w:rPr>
          <w:b/>
          <w:bCs/>
        </w:rPr>
        <w:t xml:space="preserve">Bidirectional m6A modeling.</w:t>
      </w:r>
      <w:r>
        <w:t xml:space="preserve"> </w:t>
      </w:r>
      <w:r>
        <w:t xml:space="preserve">Models m6A’s dual role (evasion via dsRNA destabilization vs. enhancement via translation upregulation). The enhancement component is hypothetical.</w:t>
      </w:r>
    </w:p>
    <w:p>
      <w:pPr>
        <w:pStyle w:val="FirstParagraph"/>
      </w:pPr>
      <w:r>
        <w:rPr>
          <w:b/>
          <w:bCs/>
        </w:rPr>
        <w:t xml:space="preserve">(C) Verified mathematical properties (biological utility unverified):</w:t>
      </w:r>
    </w:p>
    <w:p>
      <w:pPr>
        <w:numPr>
          <w:ilvl w:val="0"/>
          <w:numId w:val="1006"/>
        </w:numPr>
      </w:pPr>
      <w:r>
        <w:rPr>
          <w:b/>
          <w:bCs/>
        </w:rPr>
        <w:t xml:space="preserve">TorusFold architecture.</w:t>
      </w:r>
      <w:r>
        <w:t xml:space="preserve"> </w:t>
      </w:r>
      <w:r>
        <w:t xml:space="preserve">Mathematical formulation for circRNA’s</w:t>
      </w:r>
      <w:r>
        <w:t xml:space="preserve"> </w:t>
      </w:r>
      <m:oMath>
        <m:sSup>
          <m:e>
            <m:r>
              <m:t>S</m:t>
            </m:r>
          </m:e>
          <m:sup>
            <m:r>
              <m:t>1</m:t>
            </m:r>
          </m:sup>
        </m:sSup>
      </m:oMath>
      <w:r>
        <w:t xml:space="preserve"> </w:t>
      </w:r>
      <w:r>
        <w:t xml:space="preserve">topology: TPE periodicity (verified:</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circular distance metric, and rotation equivariance (verified). These are design properties of the architecture. The pair prediction head is non-functional (</w:t>
      </w:r>
      <m:oMath>
        <m:r>
          <m:rPr>
            <m:sty m:val="p"/>
          </m:rPr>
          <m:t>∼</m:t>
        </m:r>
      </m:oMath>
      <w:r>
        <w:t xml:space="preserve">0% predictions). Without circRNA 3D structure training data, we cannot distinguish implementation bug from architectural flaw. A physics-based structure head provides zero-training 3D prediction via constraint solving as a fallback.</w:t>
      </w:r>
    </w:p>
    <w:bookmarkStart w:id="40" w:name="fig:torusfold"/>
    <w:p>
      <w:pPr>
        <w:pStyle w:val="CaptionedFigure"/>
      </w:pPr>
      <w:r>
        <w:drawing>
          <wp:inline>
            <wp:extent cx="4533900" cy="4684734"/>
            <wp:effectExtent b="0" l="0" r="0" t="0"/>
            <wp:docPr descr="" title="" id="38" name="Picture"/>
            <a:graphic>
              <a:graphicData uri="http://schemas.openxmlformats.org/drawingml/2006/picture">
                <pic:pic>
                  <pic:nvPicPr>
                    <pic:cNvPr descr="fig6_torusfold_architecture.pdf" id="39" name="Picture"/>
                    <pic:cNvPicPr>
                      <a:picLocks noChangeArrowheads="1" noChangeAspect="1"/>
                    </pic:cNvPicPr>
                  </pic:nvPicPr>
                  <pic:blipFill>
                    <a:blip r:embed="rId37"/>
                    <a:stretch>
                      <a:fillRect/>
                    </a:stretch>
                  </pic:blipFill>
                  <pic:spPr bwMode="auto">
                    <a:xfrm>
                      <a:off x="0" y="0"/>
                      <a:ext cx="4533900" cy="4684734"/>
                    </a:xfrm>
                    <a:prstGeom prst="rect">
                      <a:avLst/>
                    </a:prstGeom>
                    <a:noFill/>
                    <a:ln w="9525">
                      <a:noFill/>
                      <a:headEnd/>
                      <a:tailEnd/>
                    </a:ln>
                  </pic:spPr>
                </pic:pic>
              </a:graphicData>
            </a:graphic>
          </wp:inline>
        </w:drawing>
      </w:r>
    </w:p>
    <w:p>
      <w:pPr>
        <w:pStyle w:val="ImageCaption"/>
      </w:pPr>
      <w:r>
        <w:t xml:space="preserve">TorusFold architecture for circRNA 3D structure prediction. (A) Torus Positional Encoding (TPE) on</w:t>
      </w:r>
      <w:r>
        <w:t xml:space="preserve"> </w:t>
      </w:r>
      <m:oMath>
        <m:sSup>
          <m:e>
            <m:r>
              <m:t>S</m:t>
            </m:r>
          </m:e>
          <m:sup>
            <m:r>
              <m:t>1</m:t>
            </m:r>
          </m:sup>
        </m:sSup>
      </m:oMath>
      <w:r>
        <w:t xml:space="preserve"> </w:t>
      </w:r>
      <w:r>
        <w:t xml:space="preserve">topology with guaranteed periodicity. (B) Circular distance metric accounting for BSJ continuity. (C) CircPairformer rotation-equivariant pair representation. (D) Verified mathematical properties: TPE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confirmed. Pair prediction head non-functional pending circRNA 3D structure training data.</w:t>
      </w:r>
    </w:p>
    <w:bookmarkEnd w:id="40"/>
    <w:p>
      <w:pPr>
        <w:pStyle w:val="BodyText"/>
      </w:pPr>
      <w:r>
        <w:rPr>
          <w:b/>
          <w:bCs/>
        </w:rPr>
        <w:t xml:space="preserve">(D) Software and community infrastructure:</w:t>
      </w:r>
    </w:p>
    <w:p>
      <w:pPr>
        <w:numPr>
          <w:ilvl w:val="0"/>
          <w:numId w:val="1007"/>
        </w:numPr>
      </w:pPr>
      <w:r>
        <w:rPr>
          <w:b/>
          <w:bCs/>
        </w:rPr>
        <w:t xml:space="preserve">Integrated event-driven framework with algorithmic extensibility.</w:t>
      </w:r>
      <w:r>
        <w:t xml:space="preserve"> </w:t>
      </w:r>
      <w:r>
        <w:t xml:space="preserve">EventBus with 18+ event types couples eight subsystems. New algorithms can replace existing implementations by subscribing to the same events.</w:t>
      </w:r>
    </w:p>
    <w:p>
      <w:pPr>
        <w:numPr>
          <w:ilvl w:val="0"/>
          <w:numId w:val="1007"/>
        </w:numPr>
      </w:pPr>
      <w:r>
        <w:rPr>
          <w:b/>
          <w:bCs/>
        </w:rPr>
        <w:t xml:space="preserve">Accessibility design.</w:t>
      </w:r>
      <w:r>
        <w:t xml:space="preserve"> </w:t>
      </w:r>
      <w:r>
        <w:t xml:space="preserve">Five interfaces (Python API, Streamlit web, CLI, R package, PyQt6 desktop IDE with natural-language query) target molecular biologists and software developers.</w:t>
      </w:r>
    </w:p>
    <w:p>
      <w:pPr>
        <w:numPr>
          <w:ilvl w:val="0"/>
          <w:numId w:val="1007"/>
        </w:numPr>
      </w:pPr>
      <w:r>
        <w:rPr>
          <w:b/>
          <w:bCs/>
        </w:rPr>
        <w:t xml:space="preserve">Federated data sharing.</w:t>
      </w:r>
      <w:r>
        <w:t xml:space="preserve"> </w:t>
      </w:r>
      <w:r>
        <w:t xml:space="preserve">Confluencia Hub with ethics-gated uploads, data source declaration, dual-use screening, and SHA256 hash verification.</w:t>
      </w:r>
    </w:p>
    <w:bookmarkEnd w:id="41"/>
    <w:bookmarkStart w:id="42" w:name="integration-ecosystem"/>
    <w:p>
      <w:pPr>
        <w:pStyle w:val="Heading2"/>
      </w:pPr>
      <w:r>
        <w:t xml:space="preserve">Integration Ecosystem</w:t>
      </w:r>
    </w:p>
    <w:p>
      <w:pPr>
        <w:pStyle w:val="FirstParagraph"/>
      </w:pPr>
      <w:r>
        <w:t xml:space="preserve">The EventBus architecture enables integration beyond the core modules. The platform uses established external tools via lazy-loading bridges: (1) structure prediction uses ViennaRNA (thermodynamic) with TorusFold as theoretical extension; (2) PK simulation uses literature-derived compartment models but can swap to PK-Sim or physiologically-based PK via EventBus subscription; (3) MHC binding uses NetMHCpan (AUC</w:t>
      </w:r>
      <w:r>
        <w:t xml:space="preserve"> </w:t>
      </w:r>
      <m:oMath>
        <m:r>
          <m:rPr>
            <m:sty m:val="p"/>
          </m:rPr>
          <m:t>∼</m:t>
        </m:r>
      </m:oMath>
      <w:r>
        <w:t xml:space="preserve">0.90) for standalone screening. Confluencia’s custom modules serve integration needs rather than competing with established benchmarks. New methods can replace existing implementations by subscribing to the same events without modifying other subsystems.</w:t>
      </w:r>
    </w:p>
    <w:bookmarkEnd w:id="42"/>
    <w:bookmarkStart w:id="43" w:name="what-remains-unvalidated"/>
    <w:p>
      <w:pPr>
        <w:pStyle w:val="Heading2"/>
      </w:pPr>
      <w:r>
        <w:t xml:space="preserve">What Remains Unvalidated</w:t>
      </w:r>
    </w:p>
    <w:p>
      <w:pPr>
        <w:numPr>
          <w:ilvl w:val="0"/>
          <w:numId w:val="1008"/>
        </w:numPr>
      </w:pPr>
      <w:r>
        <w:rPr>
          <w:b/>
          <w:bCs/>
        </w:rPr>
        <w:t xml:space="preserve">TNBC simulation.</w:t>
      </w:r>
      <w:r>
        <w:t xml:space="preserve"> </w:t>
      </w:r>
      <w:r>
        <w:t xml:space="preserve">No TCGA/METABRIC validation. Parameter-swap experiment confirms circular dependency.</w:t>
      </w:r>
    </w:p>
    <w:p>
      <w:pPr>
        <w:numPr>
          <w:ilvl w:val="0"/>
          <w:numId w:val="1008"/>
        </w:numPr>
      </w:pPr>
      <w:r>
        <w:rPr>
          <w:b/>
          <w:bCs/>
        </w:rPr>
        <w:t xml:space="preserve">Immunogenicity weights.</w:t>
      </w:r>
      <w:r>
        <w:t xml:space="preserve"> </w:t>
      </w:r>
      <w:r>
        <w:t xml:space="preserve">Literature-derived, not empirically calibrated. 20% rank inversion under weight perturbation.</w:t>
      </w:r>
      <w:r>
        <w:t xml:space="preserve"> </w:t>
      </w:r>
      <m:oMath>
        <m:r>
          <m:t>N</m:t>
        </m:r>
        <m:r>
          <m:rPr>
            <m:sty m:val="p"/>
          </m:rPr>
          <m:t>=</m:t>
        </m:r>
        <m:r>
          <m:t>7</m:t>
        </m:r>
      </m:oMath>
      <w:r>
        <w:t xml:space="preserve"> </w:t>
      </w:r>
      <w:r>
        <w:t xml:space="preserve">primary benchmark gives power</w:t>
      </w:r>
      <w:r>
        <w:t xml:space="preserve"> </w:t>
      </w:r>
      <m:oMath>
        <m:r>
          <m:rPr>
            <m:sty m:val="p"/>
          </m:rPr>
          <m:t>≈</m:t>
        </m:r>
      </m:oMath>
      <w:r>
        <w:t xml:space="preserve">0.35.</w:t>
      </w:r>
    </w:p>
    <w:p>
      <w:pPr>
        <w:numPr>
          <w:ilvl w:val="0"/>
          <w:numId w:val="1008"/>
        </w:numPr>
      </w:pPr>
      <w:r>
        <w:rPr>
          <w:b/>
          <w:bCs/>
        </w:rPr>
        <w:t xml:space="preserve">TorusFold.</w:t>
      </w:r>
      <w:r>
        <w:t xml:space="preserve"> </w:t>
      </w:r>
      <w:r>
        <w:t xml:space="preserve">Non-functional pair head. Validation awaits circRNA 3D structure data.</w:t>
      </w:r>
    </w:p>
    <w:p>
      <w:pPr>
        <w:numPr>
          <w:ilvl w:val="0"/>
          <w:numId w:val="1008"/>
        </w:numPr>
      </w:pPr>
      <w:r>
        <w:rPr>
          <w:b/>
          <w:bCs/>
        </w:rPr>
        <w:t xml:space="preserve">RL-ABM reward.</w:t>
      </w:r>
      <w:r>
        <w:t xml:space="preserve"> </w:t>
      </w:r>
      <w:r>
        <w:t xml:space="preserve">Optimizer converges on simulator reward surface, not validated biological optima.</w:t>
      </w:r>
    </w:p>
    <w:bookmarkEnd w:id="43"/>
    <w:bookmarkStart w:id="44" w:name="the-circrna-data-challenge"/>
    <w:p>
      <w:pPr>
        <w:pStyle w:val="Heading2"/>
      </w:pPr>
      <w:r>
        <w:t xml:space="preserve">The circRNA Data Challenge</w:t>
      </w:r>
    </w:p>
    <w:p>
      <w:pPr>
        <w:pStyle w:val="FirstParagraph"/>
      </w:pPr>
      <w:r>
        <w:t xml:space="preserve">No circRNA crystal structures or cryo-EM reconstructions exist in PDB. Fewer than two dozen circRNA structural annotations are available from literature. This is the fundamental barrier for TorusFold validation. We propose circRNA-CASP as a community mechanism, analogous to CASP for proteins. Until circRNA structure data becomes available, TorusFold remains a theoretical proposal with verified mathematical properties but unverified biological utility.</w:t>
      </w:r>
    </w:p>
    <w:bookmarkEnd w:id="44"/>
    <w:bookmarkStart w:id="46" w:name="power-analysis"/>
    <w:p>
      <w:pPr>
        <w:pStyle w:val="Heading2"/>
      </w:pPr>
      <w:r>
        <w:t xml:space="preserve">Power Analysis</w:t>
      </w:r>
    </w:p>
    <w:p>
      <w:pPr>
        <w:pStyle w:val="FirstParagraph"/>
      </w:pPr>
      <w:r>
        <w:t xml:space="preserve">Current sample sizes are insufficient for definitive validation. Required sample sizes for key benchmarks:</w:t>
      </w:r>
    </w:p>
    <w:bookmarkStart w:id="45" w:name="tab:power_analysis"/>
    <w:p>
      <w:pPr>
        <w:pStyle w:val="TableCaption"/>
      </w:pPr>
      <w:r>
        <w:t xml:space="preserve">Power analysis for validation benchmarks</w:t>
      </w:r>
    </w:p>
    <w:tbl>
      <w:tblPr>
        <w:tblStyle w:val="Table"/>
        <w:tblW w:type="auto" w:w="0"/>
        <w:tblLook w:firstRow="1" w:lastRow="0" w:firstColumn="0" w:lastColumn="0" w:noHBand="0" w:noVBand="0" w:val="0020"/>
        <w:tblCaption w:val="Power analysis for validation benchmarks"/>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center"/>
            </w:pPr>
            <w:r>
              <w:rPr>
                <w:b/>
                <w:bCs/>
              </w:rPr>
              <w:t xml:space="preserve">Current</w:t>
            </w:r>
            <w:r>
              <w:rPr>
                <w:b/>
                <w:bCs/>
              </w:rPr>
              <w:t xml:space="preserve"> </w:t>
            </w:r>
            <m:oMath>
              <m:r>
                <m:t>N</m:t>
              </m:r>
            </m:oMath>
          </w:p>
        </w:tc>
        <w:tc>
          <w:tcPr/>
          <w:p>
            <w:pPr>
              <w:pStyle w:val="Compact"/>
              <w:jc w:val="center"/>
            </w:pPr>
            <w:r>
              <w:rPr>
                <w:b/>
                <w:bCs/>
              </w:rPr>
              <w:t xml:space="preserve">Required</w:t>
            </w:r>
            <w:r>
              <w:rPr>
                <w:b/>
                <w:bCs/>
              </w:rPr>
              <w:t xml:space="preserve"> </w:t>
            </w:r>
            <m:oMath>
              <m:r>
                <m:t>N</m:t>
              </m:r>
            </m:oMath>
            <w:r>
              <w:rPr>
                <w:b/>
                <w:bCs/>
              </w:rPr>
              <w:t xml:space="preserve"> </w:t>
            </w:r>
            <w:r>
              <w:rPr>
                <w:b/>
                <w:bCs/>
              </w:rPr>
              <w:t xml:space="preserve">(</w:t>
            </w:r>
            <m:oMath>
              <m:r>
                <m:t>α</m:t>
              </m:r>
            </m:oMath>
            <w:r>
              <w:rPr>
                <w:b/>
                <w:bCs/>
              </w:rPr>
              <w:t xml:space="preserve">=0.05, power=0.80)</w:t>
            </w:r>
          </w:p>
        </w:tc>
        <w:tc>
          <w:tcPr/>
          <w:p>
            <w:pPr>
              <w:pStyle w:val="Compact"/>
              <w:jc w:val="center"/>
            </w:pPr>
            <w:r>
              <w:rPr>
                <w:b/>
                <w:bCs/>
              </w:rPr>
              <w:t xml:space="preserve">Current Power</w:t>
            </w:r>
          </w:p>
        </w:tc>
        <w:tc>
          <w:tcPr/>
          <w:p>
            <w:pPr>
              <w:pStyle w:val="Compact"/>
              <w:jc w:val="center"/>
            </w:pPr>
            <w:r>
              <w:rPr>
                <w:b/>
                <w:bCs/>
              </w:rPr>
              <w:t xml:space="preserve">Effect Size Assumption</w:t>
            </w:r>
          </w:p>
        </w:tc>
      </w:tr>
      <w:tr>
        <w:tc>
          <w:tcPr/>
          <w:p>
            <w:pPr>
              <w:pStyle w:val="Compact"/>
              <w:jc w:val="left"/>
            </w:pPr>
            <w:r>
              <w:t xml:space="preserve">Immunogenicity (</w:t>
            </w:r>
            <m:oMath>
              <m:r>
                <m:t>r</m:t>
              </m:r>
              <m:r>
                <m:rPr>
                  <m:sty m:val="p"/>
                </m:rPr>
                <m:t>=</m:t>
              </m:r>
              <m:r>
                <m:t>0.91</m:t>
              </m:r>
            </m:oMath>
            <w:r>
              <w:t xml:space="preserve"> </w:t>
            </w:r>
            <w:r>
              <w:t xml:space="preserve">vs</w:t>
            </w:r>
            <w:r>
              <w:t xml:space="preserve"> </w:t>
            </w:r>
            <m:oMath>
              <m:r>
                <m:t>r</m:t>
              </m:r>
              <m:r>
                <m:rPr>
                  <m:sty m:val="p"/>
                </m:rPr>
                <m:t>=</m:t>
              </m:r>
              <m:r>
                <m:t>0.50</m:t>
              </m:r>
            </m:oMath>
            <w:r>
              <w:t xml:space="preserve">)</w:t>
            </w:r>
          </w:p>
        </w:tc>
        <w:tc>
          <w:tcPr/>
          <w:p>
            <w:pPr>
              <w:pStyle w:val="Compact"/>
              <w:jc w:val="center"/>
            </w:pPr>
            <w:r>
              <w:t xml:space="preserve">7</w:t>
            </w:r>
          </w:p>
        </w:tc>
        <w:tc>
          <w:tcPr/>
          <w:p>
            <w:pPr>
              <w:pStyle w:val="Compact"/>
              <w:jc w:val="center"/>
            </w:pPr>
            <m:oMath>
              <m:r>
                <m:rPr>
                  <m:sty m:val="p"/>
                </m:rPr>
                <m:t>∼</m:t>
              </m:r>
            </m:oMath>
            <w:r>
              <w:t xml:space="preserve">25</w:t>
            </w:r>
          </w:p>
        </w:tc>
        <w:tc>
          <w:tcPr/>
          <w:p>
            <w:pPr>
              <w:pStyle w:val="Compact"/>
              <w:jc w:val="center"/>
            </w:pPr>
            <m:oMath>
              <m:r>
                <m:rPr>
                  <m:sty m:val="p"/>
                </m:rPr>
                <m:t>∼</m:t>
              </m:r>
            </m:oMath>
            <w:r>
              <w:t xml:space="preserve">0.35</w:t>
            </w:r>
          </w:p>
        </w:tc>
        <w:tc>
          <w:tcPr/>
          <w:p>
            <w:pPr>
              <w:pStyle w:val="Compact"/>
              <w:jc w:val="center"/>
            </w:pPr>
            <w:r>
              <w:t xml:space="preserve">Large (Cohen</w:t>
            </w:r>
            <w:r>
              <w:t xml:space="preserve"> </w:t>
            </w:r>
            <m:oMath>
              <m:r>
                <m:t>q</m:t>
              </m:r>
              <m:r>
                <m:rPr>
                  <m:sty m:val="p"/>
                </m:rPr>
                <m:t>=</m:t>
              </m:r>
              <m:r>
                <m:t>0.85</m:t>
              </m:r>
            </m:oMath>
            <w:r>
              <w:t xml:space="preserve">)</w:t>
            </w:r>
          </w:p>
        </w:tc>
      </w:tr>
      <w:tr>
        <w:tc>
          <w:tcPr/>
          <w:p>
            <w:pPr>
              <w:pStyle w:val="Compact"/>
              <w:jc w:val="left"/>
            </w:pPr>
            <w:r>
              <w:t xml:space="preserve">PK (6-comp vs 2-comp)</w:t>
            </w:r>
          </w:p>
        </w:tc>
        <w:tc>
          <w:tcPr/>
          <w:p>
            <w:pPr>
              <w:pStyle w:val="Compact"/>
              <w:jc w:val="center"/>
            </w:pPr>
            <w:r>
              <w:t xml:space="preserve">4</w:t>
            </w:r>
          </w:p>
        </w:tc>
        <w:tc>
          <w:tcPr/>
          <w:p>
            <w:pPr>
              <w:pStyle w:val="Compact"/>
              <w:jc w:val="center"/>
            </w:pPr>
            <m:oMath>
              <m:r>
                <m:rPr>
                  <m:sty m:val="p"/>
                </m:rPr>
                <m:t>∼</m:t>
              </m:r>
            </m:oMath>
            <w:r>
              <w:t xml:space="preserve">12</w:t>
            </w:r>
          </w:p>
        </w:tc>
        <w:tc>
          <w:tcPr/>
          <w:p>
            <w:pPr>
              <w:pStyle w:val="Compact"/>
              <w:jc w:val="center"/>
            </w:pPr>
            <m:oMath>
              <m:r>
                <m:rPr>
                  <m:sty m:val="p"/>
                </m:rPr>
                <m:t>∼</m:t>
              </m:r>
            </m:oMath>
            <w:r>
              <w:t xml:space="preserve">0.20</w:t>
            </w:r>
          </w:p>
        </w:tc>
        <w:tc>
          <w:tcPr/>
          <w:p>
            <w:pPr>
              <w:pStyle w:val="Compact"/>
              <w:jc w:val="center"/>
            </w:pPr>
            <m:oMath>
              <m:r>
                <m:rPr>
                  <m:sty m:val="p"/>
                </m:rPr>
                <m:t>Δ</m:t>
              </m:r>
            </m:oMath>
            <w:r>
              <w:t xml:space="preserve">AIC=4.5 (medium)</w:t>
            </w:r>
          </w:p>
        </w:tc>
      </w:tr>
    </w:tbl>
    <w:bookmarkEnd w:id="45"/>
    <w:bookmarkEnd w:id="46"/>
    <w:bookmarkStart w:id="47" w:name="the-federated-sharing-response"/>
    <w:p>
      <w:pPr>
        <w:pStyle w:val="Heading2"/>
      </w:pPr>
      <w:r>
        <w:t xml:space="preserve">The Federated Sharing Response</w:t>
      </w:r>
    </w:p>
    <w:p>
      <w:pPr>
        <w:pStyle w:val="FirstParagraph"/>
      </w:pPr>
      <w:r>
        <w:t xml:space="preserve">The small-sample problem (</w:t>
      </w:r>
      <m:oMath>
        <m:r>
          <m:t>N</m:t>
        </m:r>
        <m:r>
          <m:rPr>
            <m:sty m:val="p"/>
          </m:rPr>
          <m:t>=</m:t>
        </m:r>
        <m:r>
          <m:t>42</m:t>
        </m:r>
      </m:oMath>
      <w:r>
        <w:t xml:space="preserve"> </w:t>
      </w:r>
      <w:r>
        <w:t xml:space="preserve">drug,</w:t>
      </w:r>
      <w:r>
        <w:t xml:space="preserve"> </w:t>
      </w:r>
      <m:oMath>
        <m:r>
          <m:t>N</m:t>
        </m:r>
        <m:r>
          <m:rPr>
            <m:sty m:val="p"/>
          </m:rPr>
          <m:t>=</m:t>
        </m:r>
        <m:r>
          <m:t>7</m:t>
        </m:r>
      </m:oMath>
      <w:r>
        <w:t xml:space="preserve"> </w:t>
      </w:r>
      <w:r>
        <w:t xml:space="preserve">immunogenicity) is endemic to circRNA work. Confluencia Hub enables federated model sharing: labs upload trained weights (not raw data).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bookmarkEnd w:id="47"/>
    <w:bookmarkEnd w:id="48"/>
    <w:bookmarkStart w:id="49" w:name="limitations"/>
    <w:p>
      <w:pPr>
        <w:pStyle w:val="Heading1"/>
      </w:pPr>
      <w:r>
        <w:t xml:space="preserve">Limitations</w:t>
      </w:r>
    </w:p>
    <w:p>
      <w:pPr>
        <w:pStyle w:val="FirstParagraph"/>
      </w:pPr>
      <w:r>
        <w:rPr>
          <w:b/>
          <w:bCs/>
        </w:rPr>
        <w:t xml:space="preserve">TNBC.</w:t>
      </w:r>
      <w:r>
        <w:t xml:space="preserve"> </w:t>
      </w:r>
      <w:r>
        <w:t xml:space="preserve">ODE dynamics without stochastic effects; no TCGA/METABRIC validation; parameter-swap experiment confirms circular dependency; spatial TME model assumes fixed compartment boundaries; Shannon diversity discretizes continuous heterogeneity.</w:t>
      </w:r>
    </w:p>
    <w:p>
      <w:pPr>
        <w:pStyle w:val="BodyText"/>
      </w:pPr>
      <w:r>
        <w:rPr>
          <w:b/>
          <w:bCs/>
        </w:rPr>
        <w:t xml:space="preserve">Immunogenicity.</w:t>
      </w:r>
      <w:r>
        <w:t xml:space="preserve"> </w:t>
      </w:r>
      <w:r>
        <w:t xml:space="preserve">Pathway weights uncalibrated; 20% rank inversion under weight variation;</w:t>
      </w:r>
      <w:r>
        <w:t xml:space="preserve"> </w:t>
      </w:r>
      <m:oMath>
        <m:r>
          <m:t>N</m:t>
        </m:r>
        <m:r>
          <m:rPr>
            <m:sty m:val="p"/>
          </m:rPr>
          <m:t>=</m:t>
        </m:r>
        <m:r>
          <m:t>7</m:t>
        </m:r>
      </m:oMath>
      <w:r>
        <w:t xml:space="preserve"> </w:t>
      </w:r>
      <w:r>
        <w:t xml:space="preserve">primary benchmark fragile (power</w:t>
      </w:r>
      <w:r>
        <w:t xml:space="preserve"> </w:t>
      </w:r>
      <m:oMath>
        <m:r>
          <m:rPr>
            <m:sty m:val="p"/>
          </m:rPr>
          <m:t>≈</m:t>
        </m:r>
      </m:oMath>
      <w:r>
        <w:t xml:space="preserve">0.35);</w:t>
      </w:r>
      <w:r>
        <w:t xml:space="preserve"> </w:t>
      </w:r>
      <m:oMath>
        <m:r>
          <m:t>N</m:t>
        </m:r>
        <m:r>
          <m:rPr>
            <m:sty m:val="p"/>
          </m:rPr>
          <m:t>=</m:t>
        </m:r>
        <m:r>
          <m:t>15</m:t>
        </m:r>
      </m:oMath>
      <w:r>
        <w:t xml:space="preserve"> </w:t>
      </w:r>
      <w:r>
        <w:t xml:space="preserve">HEK293 CI too wide to claim validation (width 0.62); GC confound partially resolved (partial</w:t>
      </w:r>
      <w:r>
        <w:t xml:space="preserve"> </w:t>
      </w:r>
      <m:oMath>
        <m:r>
          <m:t>r</m:t>
        </m:r>
        <m:r>
          <m:rPr>
            <m:sty m:val="p"/>
          </m:rPr>
          <m:t>=</m:t>
        </m:r>
        <m:r>
          <m:t>0.42</m:t>
        </m:r>
      </m:oMath>
      <w:r>
        <w:t xml:space="preserve">); m6A suppression values (90%/30%/20%) are estimated, not measured; sensitivity analysis shows 2/15 rank changes under</w:t>
      </w:r>
      <w:r>
        <w:t xml:space="preserve"> </w:t>
      </w:r>
      <m:oMath>
        <m:r>
          <m:rPr>
            <m:sty m:val="p"/>
          </m:rPr>
          <m:t>±</m:t>
        </m:r>
      </m:oMath>
      <w:r>
        <w:t xml:space="preserve">50% variation; TLR circularity correction factor (0.70) is heuristic; bidirectional m6A enhancement_weight is hypothetical; model assumes highly purified circRNA and does not account for production method effects that Chen 2019 showed are critical.</w:t>
      </w:r>
    </w:p>
    <w:p>
      <w:pPr>
        <w:pStyle w:val="BodyText"/>
      </w:pPr>
      <w:r>
        <w:rPr>
          <w:b/>
          <w:bCs/>
        </w:rPr>
        <w:t xml:space="preserve">PK.</w:t>
      </w:r>
      <w:r>
        <w:t xml:space="preserve"> </w:t>
      </w:r>
      <w:r>
        <w:t xml:space="preserve">Literature priors only, not fitted to time-course data;</w:t>
      </w:r>
      <w:r>
        <w:t xml:space="preserve"> </w:t>
      </w:r>
      <m:oMath>
        <m:r>
          <m:t>N</m:t>
        </m:r>
        <m:r>
          <m:rPr>
            <m:sty m:val="p"/>
          </m:rPr>
          <m:t>=</m:t>
        </m:r>
        <m:r>
          <m:t>4</m:t>
        </m:r>
      </m:oMath>
      <w:r>
        <w:t xml:space="preserve"> </w:t>
      </w:r>
      <w:r>
        <w:t xml:space="preserve">validation cannot distinguish six-compartment from simpler models (</w:t>
      </w:r>
      <m:oMath>
        <m:r>
          <m:rPr>
            <m:sty m:val="p"/>
          </m:rPr>
          <m:t>Δ</m:t>
        </m:r>
      </m:oMath>
      <w:r>
        <w:t xml:space="preserve">AIC=4.5 not significant at</w:t>
      </w:r>
      <w:r>
        <w:t xml:space="preserve"> </w:t>
      </w:r>
      <m:oMath>
        <m:r>
          <m:t>N</m:t>
        </m:r>
        <m:r>
          <m:rPr>
            <m:sty m:val="p"/>
          </m:rPr>
          <m:t>=</m:t>
        </m:r>
        <m:r>
          <m:t>4</m:t>
        </m:r>
      </m:oMath>
      <w:r>
        <w:t xml:space="preserve">); no patient-specific PK;</w:t>
      </w:r>
      <w:r>
        <w:t xml:space="preserve"> </w:t>
      </w:r>
      <m:oMath>
        <m:sSub>
          <m:e>
            <m:r>
              <m:t>k</m:t>
            </m:r>
          </m:e>
          <m:sub>
            <m:r>
              <m:t>e</m:t>
            </m:r>
            <m:r>
              <m:t>c</m:t>
            </m:r>
          </m:sub>
        </m:sSub>
      </m:oMath>
      <w:r>
        <w:t xml:space="preserve"> </w:t>
      </w:r>
      <w:r>
        <w:t xml:space="preserve">derivation from stochastic efficiency to first-order kinetics is approximate; modification effect on</w:t>
      </w:r>
      <w:r>
        <w:t xml:space="preserve"> </w:t>
      </w:r>
      <m:oMath>
        <m:sSub>
          <m:e>
            <m:r>
              <m:t>k</m:t>
            </m:r>
          </m:e>
          <m:sub>
            <m:r>
              <m:t>c</m:t>
            </m:r>
            <m:r>
              <m:t>d</m:t>
            </m:r>
          </m:sub>
        </m:sSub>
      </m:oMath>
      <w:r>
        <w:t xml:space="preserve"> </w:t>
      </w:r>
      <w:r>
        <w:t xml:space="preserve">is a linear multiplier.</w:t>
      </w:r>
    </w:p>
    <w:p>
      <w:pPr>
        <w:pStyle w:val="BodyText"/>
      </w:pPr>
      <w:r>
        <w:rPr>
          <w:b/>
          <w:bCs/>
        </w:rPr>
        <w:t xml:space="preserve">TorusFold.</w:t>
      </w:r>
      <w:r>
        <w:t xml:space="preserve"> </w:t>
      </w:r>
      <w:r>
        <w:t xml:space="preserve">Non-functional pair head (</w:t>
      </w:r>
      <m:oMath>
        <m:r>
          <m:rPr>
            <m:sty m:val="p"/>
          </m:rPr>
          <m:t>∼</m:t>
        </m:r>
      </m:oMath>
      <w:r>
        <w:t xml:space="preserve">0% predictions); no circRNA 3D structure training data; cannot distinguish bug from architectural flaw; additive pair initialization may contribute to failure;</w:t>
      </w:r>
      <w:r>
        <w:t xml:space="preserve"> </w:t>
      </w:r>
      <m:oMath>
        <m:r>
          <m:t>H</m:t>
        </m:r>
        <m:r>
          <m:rPr>
            <m:sty m:val="p"/>
          </m:rPr>
          <m:t>=</m:t>
        </m:r>
        <m:r>
          <m:t>16</m:t>
        </m:r>
      </m:oMath>
      <w:r>
        <w:t xml:space="preserve"> </w:t>
      </w:r>
      <w:r>
        <w:t xml:space="preserve">harmonics choice unvalidated.</w:t>
      </w:r>
    </w:p>
    <w:p>
      <w:pPr>
        <w:pStyle w:val="BodyText"/>
      </w:pPr>
      <w:r>
        <w:rPr>
          <w:b/>
          <w:bCs/>
        </w:rPr>
        <w:t xml:space="preserve">Evolution.</w:t>
      </w:r>
      <w:r>
        <w:t xml:space="preserve"> </w:t>
      </w:r>
      <w:r>
        <w:t xml:space="preserve">REINFORCE optimizes heuristic landscape, not validated biological optima; 500 episodes with convergence at 350-450 across seeds; reward weights (0.35/0.30/0.20/0.15) are heuristic; Bliss-CI discrepancy matrix is descriptive, not prescriptive.</w:t>
      </w:r>
    </w:p>
    <w:p>
      <w:pPr>
        <w:pStyle w:val="BodyText"/>
      </w:pPr>
      <w:r>
        <w:rPr>
          <w:b/>
          <w:bCs/>
        </w:rPr>
        <w:t xml:space="preserve">All claims are hypothesis-generation.</w:t>
      </w:r>
      <w:r>
        <w:t xml:space="preserve"> </w:t>
      </w:r>
      <w:r>
        <w:t xml:space="preserve">Simulated outcomes validate internal consistency, not external predictions. Wet-lab validation ongoing.</w:t>
      </w:r>
    </w:p>
    <w:bookmarkEnd w:id="49"/>
    <w:bookmarkStart w:id="50" w:name="data-availability-statement"/>
    <w:p>
      <w:pPr>
        <w:pStyle w:val="Heading1"/>
      </w:pPr>
      <w:r>
        <w:t xml:space="preserve">Data Availability Statement</w:t>
      </w:r>
    </w:p>
    <w:p>
      <w:pPr>
        <w:pStyle w:val="FirstParagraph"/>
      </w:pPr>
      <w:r>
        <w:t xml:space="preserve">TNBC subtype parameters derived from Jiang et al.</w:t>
      </w:r>
      <w:r>
        <w:t xml:space="preserve"> </w:t>
      </w:r>
      <w:r>
        <w:t xml:space="preserve"> </w:t>
      </w:r>
      <w:r>
        <w:t xml:space="preserve">Supplementary Table S2 (publicly available). Pharmacokinetic validation uses Wesselhoeft et al.</w:t>
      </w:r>
      <w:r>
        <w:t xml:space="preserve"> </w:t>
      </w:r>
      <w:r>
        <w:t xml:space="preserve"> </w:t>
      </w:r>
      <w:r>
        <w:t xml:space="preserve">published half-life data. Immunogenicity validation uses Chen et al.</w:t>
      </w:r>
      <w:r>
        <w:t xml:space="preserve"> </w:t>
      </w:r>
      <w:r>
        <w:t xml:space="preserve"> </w:t>
      </w:r>
      <w:r>
        <w:t xml:space="preserve">published IFN-</w:t>
      </w:r>
      <m:oMath>
        <m:r>
          <m:t>β</m:t>
        </m:r>
      </m:oMath>
      <w:r>
        <w:t xml:space="preserve"> </w:t>
      </w:r>
      <w:r>
        <w:t xml:space="preserve">measurements. circRNA 3D structure data: not available (no public database exists).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50"/>
    <w:bookmarkStart w:id="51" w:name="code-availability"/>
    <w:p>
      <w:pPr>
        <w:pStyle w:val="Heading1"/>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p>
    <w:p>
      <w:pPr>
        <w:numPr>
          <w:ilvl w:val="0"/>
          <w:numId w:val="1009"/>
        </w:numPr>
      </w:pPr>
      <w:r>
        <w:rPr>
          <w:b/>
          <w:bCs/>
        </w:rPr>
        <w:t xml:space="preserve">Python API:</w:t>
      </w:r>
      <w:r>
        <w:t xml:space="preserve"> </w:t>
      </w:r>
      <w:r>
        <w:rPr>
          <w:rStyle w:val="VerbatimChar"/>
        </w:rPr>
        <w:t xml:space="preserve">import confluencia_3_0; confluencia_3_0.simulate(config)</w:t>
      </w:r>
    </w:p>
    <w:p>
      <w:pPr>
        <w:numPr>
          <w:ilvl w:val="0"/>
          <w:numId w:val="1009"/>
        </w:numPr>
      </w:pPr>
      <w:r>
        <w:rPr>
          <w:b/>
          <w:bCs/>
        </w:rPr>
        <w:t xml:space="preserve">Streamlit web UI:</w:t>
      </w:r>
      <w:r>
        <w:t xml:space="preserve"> </w:t>
      </w:r>
      <w:r>
        <w:rPr>
          <w:rStyle w:val="VerbatimChar"/>
        </w:rPr>
        <w:t xml:space="preserve">streamlit run confluencia-studio/streamlit_app/Home.py</w:t>
      </w:r>
      <w:r>
        <w:t xml:space="preserve"> </w:t>
      </w:r>
      <w:r>
        <w:t xml:space="preserve">(6 pages: CircRNA Analysis, Drug Prediction, Epitope Screening, TNBC Simulator, Joint Analysis, Report Export)</w:t>
      </w:r>
    </w:p>
    <w:p>
      <w:pPr>
        <w:numPr>
          <w:ilvl w:val="0"/>
          <w:numId w:val="1009"/>
        </w:numPr>
      </w:pPr>
      <w:r>
        <w:rPr>
          <w:b/>
          <w:bCs/>
        </w:rPr>
        <w:t xml:space="preserve">CLI:</w:t>
      </w:r>
      <w:r>
        <w:t xml:space="preserve"> </w:t>
      </w:r>
      <w:r>
        <w:rPr>
          <w:rStyle w:val="VerbatimChar"/>
        </w:rPr>
        <w:t xml:space="preserve">confluencia simulate --subtype IM --steps 100</w:t>
      </w:r>
    </w:p>
    <w:p>
      <w:pPr>
        <w:numPr>
          <w:ilvl w:val="0"/>
          <w:numId w:val="1009"/>
        </w:numPr>
      </w:pP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p>
    <w:p>
      <w:pPr>
        <w:numPr>
          <w:ilvl w:val="0"/>
          <w:numId w:val="1009"/>
        </w:numPr>
      </w:pP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FirstParagraph"/>
      </w:pPr>
      <w:r>
        <w:rPr>
          <w:b/>
          <w:bCs/>
        </w:rPr>
        <w:t xml:space="preserve">Hub.</w:t>
      </w:r>
      <w:r>
        <w:t xml:space="preserve"> </w:t>
      </w:r>
      <w:r>
        <w:t xml:space="preserve">Federated model sharing API.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bookmarkEnd w:id="51"/>
    <w:bookmarkStart w:id="52" w:name="acknowledgments"/>
    <w:p>
      <w:pPr>
        <w:pStyle w:val="Heading1"/>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p>
      <w:pPr>
        <w:pStyle w:val="BodyText"/>
      </w:pPr>
      <w:r>
        <w:t xml:space="preserve">17</w:t>
      </w:r>
    </w:p>
    <w:p>
      <w:pPr>
        <w:pStyle w:val="BodyText"/>
      </w:pPr>
      <w:r>
        <w:t xml:space="preserve">Wesselhoeft RA, et al.</w:t>
      </w:r>
      <w:r>
        <w:t xml:space="preserve"> </w:t>
      </w:r>
      <w:r>
        <w:t xml:space="preserve">RNA circularization diminishes immunogenicity and can extend translation duration in vivo.</w:t>
      </w:r>
      <w:r>
        <w:t xml:space="preserve"> </w:t>
      </w:r>
      <w:r>
        <w:rPr>
          <w:i/>
          <w:iCs/>
        </w:rPr>
        <w:t xml:space="preserve">Nat Commun</w:t>
      </w:r>
      <w:r>
        <w:t xml:space="preserve">. 2018;9:2629.</w:t>
      </w:r>
    </w:p>
    <w:p>
      <w:pPr>
        <w:pStyle w:val="BodyText"/>
      </w:pPr>
      <w:r>
        <w:t xml:space="preserve">Jiang YZ, et al.</w:t>
      </w:r>
      <w:r>
        <w:t xml:space="preserve"> </w:t>
      </w:r>
      <w:r>
        <w:t xml:space="preserve">Genomic and Transcriptomic Landscape of Triple-Negative Breast Cancer.</w:t>
      </w:r>
      <w:r>
        <w:t xml:space="preserve"> </w:t>
      </w:r>
      <w:r>
        <w:rPr>
          <w:i/>
          <w:iCs/>
        </w:rPr>
        <w:t xml:space="preserve">Cancer Cell</w:t>
      </w:r>
      <w:r>
        <w:t xml:space="preserve">. 2019;35:428.</w:t>
      </w:r>
    </w:p>
    <w:p>
      <w:pPr>
        <w:pStyle w:val="BodyText"/>
      </w:pPr>
      <w:r>
        <w:t xml:space="preserve">Chen YG, et al.</w:t>
      </w:r>
      <w:r>
        <w:t xml:space="preserve"> </w:t>
      </w:r>
      <w:r>
        <w:t xml:space="preserve">Sensing Self and Foreign Circular RNAs by Intron Identity.</w:t>
      </w:r>
      <w:r>
        <w:t xml:space="preserve"> </w:t>
      </w:r>
      <w:r>
        <w:rPr>
          <w:i/>
          <w:iCs/>
        </w:rPr>
        <w:t xml:space="preserve">Mol Cell</w:t>
      </w:r>
      <w:r>
        <w:t xml:space="preserve">. 2019;73:422.</w:t>
      </w:r>
    </w:p>
    <w:p>
      <w:pPr>
        <w:pStyle w:val="BodyText"/>
      </w:pPr>
      <w:r>
        <w:t xml:space="preserve">Gilleron J, et al.</w:t>
      </w:r>
      <w:r>
        <w:t xml:space="preserve"> </w:t>
      </w:r>
      <w:r>
        <w:t xml:space="preserve">Image-based analysis of lipid nanoparticle-mediated siRNA delivery, intracellular trafficking and endosomal escape.</w:t>
      </w:r>
      <w:r>
        <w:t xml:space="preserve"> </w:t>
      </w:r>
      <w:r>
        <w:rPr>
          <w:i/>
          <w:iCs/>
        </w:rPr>
        <w:t xml:space="preserve">Nat Biotechnol</w:t>
      </w:r>
      <w:r>
        <w:t xml:space="preserve">. 2013;31:638.</w:t>
      </w:r>
    </w:p>
    <w:p>
      <w:pPr>
        <w:pStyle w:val="BodyText"/>
      </w:pPr>
      <w:r>
        <w:t xml:space="preserve">Hou X, et al.</w:t>
      </w:r>
      <w:r>
        <w:t xml:space="preserve"> </w:t>
      </w:r>
      <w:r>
        <w:t xml:space="preserve">Lipid nanoparticles for mRNA delivery.</w:t>
      </w:r>
      <w:r>
        <w:t xml:space="preserve"> </w:t>
      </w:r>
      <w:r>
        <w:rPr>
          <w:i/>
          <w:iCs/>
        </w:rPr>
        <w:t xml:space="preserve">Nat Rev Mater</w:t>
      </w:r>
      <w:r>
        <w:t xml:space="preserve">. 2021;6:1078.</w:t>
      </w:r>
    </w:p>
    <w:p>
      <w:pPr>
        <w:pStyle w:val="BodyText"/>
      </w:pPr>
      <w:r>
        <w:t xml:space="preserve">Paunovska K, et al.</w:t>
      </w:r>
      <w:r>
        <w:t xml:space="preserve"> </w:t>
      </w:r>
      <w:r>
        <w:t xml:space="preserve">Quantification of nanoprotein distribution at the single-cell level.</w:t>
      </w:r>
      <w:r>
        <w:t xml:space="preserve"> </w:t>
      </w:r>
      <w:r>
        <w:rPr>
          <w:i/>
          <w:iCs/>
        </w:rPr>
        <w:t xml:space="preserve">ACS Nano</w:t>
      </w:r>
      <w:r>
        <w:t xml:space="preserve">. 2018;12:7580.</w:t>
      </w:r>
    </w:p>
    <w:p>
      <w:pPr>
        <w:pStyle w:val="BodyText"/>
      </w:pPr>
      <w:r>
        <w:t xml:space="preserve">Nallagatla SR, et al.</w:t>
      </w:r>
      <w:r>
        <w:t xml:space="preserve"> </w:t>
      </w:r>
      <w:r>
        <w:t xml:space="preserve">’-terminal oligonucleotide determines RNA duplex structure and PKR activation efficiency.</w:t>
      </w:r>
      <w:r>
        <w:t xml:space="preserve"> </w:t>
      </w:r>
      <w:r>
        <w:rPr>
          <w:i/>
          <w:iCs/>
        </w:rPr>
        <w:t xml:space="preserve">Science</w:t>
      </w:r>
      <w:r>
        <w:t xml:space="preserve">. 2007;318:1455.</w:t>
      </w:r>
    </w:p>
    <w:p>
      <w:pPr>
        <w:pStyle w:val="BodyText"/>
      </w:pPr>
      <w:r>
        <w:t xml:space="preserve">Jumper J, et al.</w:t>
      </w:r>
      <w:r>
        <w:t xml:space="preserve"> </w:t>
      </w:r>
      <w:r>
        <w:t xml:space="preserve">Highly accurate protein structure prediction with AlphaFold.</w:t>
      </w:r>
      <w:r>
        <w:t xml:space="preserve"> </w:t>
      </w:r>
      <w:r>
        <w:rPr>
          <w:i/>
          <w:iCs/>
        </w:rPr>
        <w:t xml:space="preserve">Nature</w:t>
      </w:r>
      <w:r>
        <w:t xml:space="preserve">. 2021;596:583.</w:t>
      </w:r>
    </w:p>
    <w:p>
      <w:pPr>
        <w:pStyle w:val="BodyText"/>
      </w:pPr>
      <w:r>
        <w:t xml:space="preserve">Vaswani A, et al.</w:t>
      </w:r>
      <w:r>
        <w:t xml:space="preserve"> </w:t>
      </w:r>
      <w:r>
        <w:t xml:space="preserve">Attention is all you need.</w:t>
      </w:r>
      <w:r>
        <w:t xml:space="preserve"> </w:t>
      </w:r>
      <w:r>
        <w:rPr>
          <w:i/>
          <w:iCs/>
        </w:rPr>
        <w:t xml:space="preserve">NeurIPS</w:t>
      </w:r>
      <w:r>
        <w:t xml:space="preserve">. 2017.</w:t>
      </w:r>
    </w:p>
    <w:p>
      <w:pPr>
        <w:pStyle w:val="BodyText"/>
      </w:pPr>
      <w:r>
        <w:t xml:space="preserve">Lorenz R, et al.</w:t>
      </w:r>
      <w:r>
        <w:t xml:space="preserve"> </w:t>
      </w:r>
      <w:r>
        <w:t xml:space="preserve">ViennaRNA Package 2.0.</w:t>
      </w:r>
      <w:r>
        <w:t xml:space="preserve"> </w:t>
      </w:r>
      <w:r>
        <w:rPr>
          <w:i/>
          <w:iCs/>
        </w:rPr>
        <w:t xml:space="preserve">Algorithms Mol Biol</w:t>
      </w:r>
      <w:r>
        <w:t xml:space="preserve">. 2011;6:26.</w:t>
      </w:r>
    </w:p>
    <w:p>
      <w:pPr>
        <w:pStyle w:val="BodyText"/>
      </w:pPr>
      <w:r>
        <w:t xml:space="preserve">Cohen J, Welling M.</w:t>
      </w:r>
      <w:r>
        <w:t xml:space="preserve"> </w:t>
      </w:r>
      <w:r>
        <w:t xml:space="preserve">Group equivariant CNNs.</w:t>
      </w:r>
      <w:r>
        <w:t xml:space="preserve"> </w:t>
      </w:r>
      <w:r>
        <w:rPr>
          <w:i/>
          <w:iCs/>
        </w:rPr>
        <w:t xml:space="preserve">ICML</w:t>
      </w:r>
      <w:r>
        <w:t xml:space="preserve">. 2016.</w:t>
      </w:r>
    </w:p>
    <w:p>
      <w:pPr>
        <w:pStyle w:val="BodyText"/>
      </w:pPr>
      <w:r>
        <w:t xml:space="preserve">Romero DW, et al.</w:t>
      </w:r>
      <w:r>
        <w:t xml:space="preserve"> </w:t>
      </w:r>
      <w:r>
        <w:t xml:space="preserve">Equivariant Transformers.</w:t>
      </w:r>
      <w:r>
        <w:t xml:space="preserve"> </w:t>
      </w:r>
      <w:r>
        <w:rPr>
          <w:i/>
          <w:iCs/>
        </w:rPr>
        <w:t xml:space="preserve">ICLR</w:t>
      </w:r>
      <w:r>
        <w:t xml:space="preserve">. 2022.</w:t>
      </w:r>
    </w:p>
    <w:p>
      <w:pPr>
        <w:pStyle w:val="BodyText"/>
      </w:pPr>
      <w:r>
        <w:t xml:space="preserve">Hornung V, et al.</w:t>
      </w:r>
      <w:r>
        <w:t xml:space="preserve"> </w:t>
      </w:r>
      <w:r>
        <w:t xml:space="preserve">’-Triphosphate RNA is the ligand for RIG-I.</w:t>
      </w:r>
      <w:r>
        <w:t xml:space="preserve"> </w:t>
      </w:r>
      <w:r>
        <w:rPr>
          <w:i/>
          <w:iCs/>
        </w:rPr>
        <w:t xml:space="preserve">Science</w:t>
      </w:r>
      <w:r>
        <w:t xml:space="preserve">. 2006;314:994.</w:t>
      </w:r>
    </w:p>
    <w:p>
      <w:pPr>
        <w:pStyle w:val="BodyText"/>
      </w:pPr>
      <w:r>
        <w:t xml:space="preserve">Ding L, et al.</w:t>
      </w:r>
      <w:r>
        <w:t xml:space="preserve"> </w:t>
      </w:r>
      <w:r>
        <w:t xml:space="preserve">Clonal evolution in relapsed acute myeloid leukaemia revealed by whole-genome sequencing.</w:t>
      </w:r>
      <w:r>
        <w:t xml:space="preserve"> </w:t>
      </w:r>
      <w:r>
        <w:rPr>
          <w:i/>
          <w:iCs/>
        </w:rPr>
        <w:t xml:space="preserve">Nature</w:t>
      </w:r>
      <w:r>
        <w:t xml:space="preserve">. 2012;481:506.</w:t>
      </w:r>
    </w:p>
    <w:p>
      <w:pPr>
        <w:pStyle w:val="BodyText"/>
      </w:pPr>
      <w:r>
        <w:t xml:space="preserve">Peisley A, Hur S.</w:t>
      </w:r>
      <w:r>
        <w:t xml:space="preserve"> </w:t>
      </w:r>
      <w:r>
        <w:t xml:space="preserve">Multi-level regulation of cellular recognition of viral dsRNA.</w:t>
      </w:r>
      <w:r>
        <w:t xml:space="preserve"> </w:t>
      </w:r>
      <w:r>
        <w:rPr>
          <w:i/>
          <w:iCs/>
        </w:rPr>
        <w:t xml:space="preserve">Cell Mol Life Sci</w:t>
      </w:r>
      <w:r>
        <w:t xml:space="preserve">. 2013;70:1949.</w:t>
      </w:r>
    </w:p>
    <w:p>
      <w:pPr>
        <w:pStyle w:val="BodyText"/>
      </w:pPr>
      <w:r>
        <w:t xml:space="preserve">Martinez-Salas E, et al.</w:t>
      </w:r>
      <w:r>
        <w:t xml:space="preserve"> </w:t>
      </w:r>
      <w:r>
        <w:t xml:space="preserve">IRES mechanisms: connecting structure and function.</w:t>
      </w:r>
      <w:r>
        <w:t xml:space="preserve"> </w:t>
      </w:r>
      <w:r>
        <w:rPr>
          <w:i/>
          <w:iCs/>
        </w:rPr>
        <w:t xml:space="preserve">Trends Microbiol</w:t>
      </w:r>
      <w:r>
        <w:t xml:space="preserve">. 2018;26:651.</w:t>
      </w:r>
    </w:p>
    <w:p>
      <w:pPr>
        <w:pStyle w:val="BodyText"/>
      </w:pPr>
      <w:r>
        <w:t xml:space="preserve">Yang Y, et al.</w:t>
      </w:r>
      <w:r>
        <w:t xml:space="preserve"> </w:t>
      </w:r>
      <w:r>
        <w:t xml:space="preserve">Extensive translation of circular RNAs driven by N6-methyladenosine.</w:t>
      </w:r>
      <w:r>
        <w:t xml:space="preserve"> </w:t>
      </w:r>
      <w:r>
        <w:rPr>
          <w:i/>
          <w:iCs/>
        </w:rPr>
        <w:t xml:space="preserve">Cell Res</w:t>
      </w:r>
      <w:r>
        <w:t xml:space="preserve">. 2018;28:743.</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9">
    <w:nsid w:val="00A99209"/>
    <w:multiLevelType w:val="multilevel"/>
    <w:lvl w:ilvl="0">
      <w:start w:val="9"/>
      <w:numFmt w:val="decimal"/>
      <w:lvlText w:val="%1."/>
      <w:lvlJc w:val="left"/>
      <w:pPr>
        <w:ind w:left="720" w:hanging="360"/>
      </w:pPr>
    </w:lvl>
    <w:lvl w:ilvl="1">
      <w:start w:val="9"/>
      <w:numFmt w:val="lowerLetter"/>
      <w:lvlText w:val="%2."/>
      <w:lvlJc w:val="left"/>
      <w:pPr>
        <w:ind w:left="1440" w:hanging="360"/>
      </w:pPr>
    </w:lvl>
    <w:lvl w:ilvl="2">
      <w:start w:val="9"/>
      <w:numFmt w:val="lowerRoman"/>
      <w:lvlText w:val="%3."/>
      <w:lvlJc w:val="left"/>
      <w:pPr>
        <w:ind w:left="2160" w:hanging="360"/>
      </w:pPr>
    </w:lvl>
    <w:lvl w:ilvl="3">
      <w:start w:val="9"/>
      <w:numFmt w:val="decimal"/>
      <w:lvlText w:val="%4."/>
      <w:lvlJc w:val="left"/>
      <w:pPr>
        <w:ind w:left="2880" w:hanging="360"/>
      </w:pPr>
    </w:lvl>
    <w:lvl w:ilvl="4">
      <w:start w:val="9"/>
      <w:numFmt w:val="lowerLetter"/>
      <w:lvlText w:val="%5."/>
      <w:lvlJc w:val="left"/>
      <w:pPr>
        <w:ind w:left="3600" w:hanging="360"/>
      </w:pPr>
    </w:lvl>
    <w:lvl w:ilvl="5">
      <w:start w:val="9"/>
      <w:numFmt w:val="lowerRoman"/>
      <w:lvlText w:val="%6."/>
      <w:lvlJc w:val="left"/>
      <w:pPr>
        <w:ind w:left="4320" w:hanging="360"/>
      </w:pPr>
    </w:lvl>
    <w:lvl w:ilvl="6">
      <w:start w:val="9"/>
      <w:numFmt w:val="decimal"/>
      <w:lvlText w:val="%7."/>
      <w:lvlJc w:val="left"/>
      <w:pPr>
        <w:ind w:left="5040" w:hanging="360"/>
      </w:pPr>
    </w:lvl>
    <w:lvl w:ilvl="7">
      <w:start w:val="9"/>
      <w:numFmt w:val="lowerLetter"/>
      <w:lvlText w:val="%8."/>
      <w:lvlJc w:val="left"/>
      <w:pPr>
        <w:ind w:left="5760" w:hanging="360"/>
      </w:pPr>
    </w:lvl>
    <w:lvl w:ilvl="8">
      <w:start w:val="9"/>
      <w:numFmt w:val="lowerRoman"/>
      <w:lvlText w:val="%9."/>
      <w:lvlJc w:val="left"/>
      <w:pPr>
        <w:ind w:left="6480" w:hanging="360"/>
      </w:pPr>
    </w:lvl>
  </w:abstractNum>
  <w:abstractNum w:abstractNumId="992010">
    <w:nsid w:val="0A992010"/>
    <w:multiLevelType w:val="multilevel"/>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2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df" /><Relationship Type="http://schemas.openxmlformats.org/officeDocument/2006/relationships/image" Id="rId23" Target="media/rId23.pdf" /><Relationship Type="http://schemas.openxmlformats.org/officeDocument/2006/relationships/image" Id="rId37" Target="media/rId37.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Author Names1,* 1Institution *Corresponding author</dc:creator>
  <cp:keywords/>
  <dcterms:created xsi:type="dcterms:W3CDTF">2026-06-18T17:08:45Z</dcterms:created>
  <dcterms:modified xsi:type="dcterms:W3CDTF">2026-06-18T17:08:45Z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