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d1a0474a2c933a3a968a8fe62967c7a85f0bf1"/>
    <w:p>
      <w:pPr>
        <w:pStyle w:val="Heading1"/>
      </w:pPr>
      <w:r>
        <w:t xml:space="preserve">Confluencia 3.0: Integrated circRNA Vaccine Design with TNBC Subtype Simulation</w:t>
      </w:r>
    </w:p>
    <w:p>
      <w:pPr>
        <w:pStyle w:val="FirstParagraph"/>
      </w:pPr>
      <w:r>
        <w:rPr>
          <w:b/>
          <w:bCs/>
        </w:rPr>
        <w:t xml:space="preserve">Running Title:</w:t>
      </w:r>
      <w:r>
        <w:t xml:space="preserve"> </w:t>
      </w:r>
      <w:r>
        <w:t xml:space="preserve">Confluencia circRNA-TNBC Platform</w:t>
      </w:r>
    </w:p>
    <w:p>
      <w:pPr>
        <w:pStyle w:val="BodyText"/>
      </w:pPr>
      <w:r>
        <w:rPr>
          <w:b/>
          <w:bCs/>
        </w:rPr>
        <w:t xml:space="preserve">Keywords:</w:t>
      </w:r>
      <w:r>
        <w:t xml:space="preserve"> </w:t>
      </w:r>
      <w:r>
        <w:t xml:space="preserve">circRNA, TNBC, simulation, immunogenicity, pharmacokinetics, deep learning, structure prediction, federated learning, data sharing</w:t>
      </w:r>
    </w:p>
    <w:p>
      <w:r>
        <w:pict>
          <v:rect style="width:0;height:1.5pt" o:hralign="center" o:hrstd="t" o:hr="t"/>
        </w:pict>
      </w:r>
    </w:p>
    <w:bookmarkStart w:id="9" w:name="abstract"/>
    <w:p>
      <w:pPr>
        <w:pStyle w:val="Heading2"/>
      </w:pPr>
      <w:r>
        <w:t xml:space="preserve">Abstract</w:t>
      </w:r>
    </w:p>
    <w:p>
      <w:pPr>
        <w:pStyle w:val="FirstParagraph"/>
      </w:pPr>
      <w:r>
        <w:t xml:space="preserve">Confluencia 3.0 integrates computational circRNA vaccine design with TNBC molecular subtype simulation through an event-driven architecture coupling four modules: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TLR7/8, and PKR with differential m6A suppression modeling, and (4) RL-ABM closed-loop sequence optimization. Preliminary benchmarks: immunogenicity scores correlate with Chen 2019 IFN-β (Spearman r=0.91, N=7; HEK293 N=15 r=0.68 [0.26-0.88]); PK matches Wesselhoeft 2018 half-lives (12% error [CI 3-21%], N=4). Sample sizes are insufficient for definitive validation; all results are hypothesis-generating. We further propose TorusFold, a theoretical architecture for circRNA 3D structure prediction accounting for S¹ topology through Torus Positional Encoding with guaranteed periodicity, circular distance metric, and rotation-equivariant CircPairformer; the pair prediction head is currently non-functional. Wet-lab validation ongoing. Code: github.com/RomanCohort/confluencia (MIT). Federated model sharing via Confluencia Hub.</w:t>
      </w:r>
    </w:p>
    <w:p>
      <w:r>
        <w:pict>
          <v:rect style="width:0;height:1.5pt" o:hralign="center" o:hrstd="t" o:hr="t"/>
        </w:pict>
      </w:r>
    </w:p>
    <w:bookmarkEnd w:id="9"/>
    <w:bookmarkStart w:id="14" w:name="introduction"/>
    <w:p>
      <w:pPr>
        <w:pStyle w:val="Heading2"/>
      </w:pPr>
      <w:r>
        <w:t xml:space="preserve">Introduction</w:t>
      </w:r>
    </w:p>
    <w:bookmarkStart w:id="10" w:name="the-circrna-vaccine-opportunity"/>
    <w:p>
      <w:pPr>
        <w:pStyle w:val="Heading3"/>
      </w:pPr>
      <w:r>
        <w:t xml:space="preserve">The circRNA Vaccine Opportunity</w:t>
      </w:r>
    </w:p>
    <w:p>
      <w:pPr>
        <w:pStyle w:val="FirstParagraph"/>
      </w:pPr>
      <w:r>
        <w:t xml:space="preserve">Circular RNA (circRNA) is more stable than linear mRNA for vaccine cargo—think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10"/>
    <w:bookmarkStart w:id="11" w:name="the-computational-gap"/>
    <w:p>
      <w:pPr>
        <w:pStyle w:val="Heading3"/>
      </w:pPr>
      <w:r>
        <w:t xml:space="preserve">The Computational Gap</w:t>
      </w:r>
    </w:p>
    <w:p>
      <w:pPr>
        <w:pStyle w:val="FirstParagraph"/>
      </w:pPr>
      <w:r>
        <w:t xml:space="preserve">No existing platform links circRNA design to TNBC subtype-specific simulation. Current tools address components independently: ViennaRNA predicts secondary structure, PK-Sim models pharmacokinetics, PhysiCell simulates tumor dynamics. Integration is manual, and circRNA-specific features are not captured in existing frameworks.</w:t>
      </w:r>
    </w:p>
    <w:p>
      <w:pPr>
        <w:pStyle w:val="BodyText"/>
      </w:pPr>
      <w:r>
        <w:t xml:space="preserve">Three gaps matter. circRNA pharmacokinetics differ from linear mRNA: LNP encapsulation creates tissue-specific biodistribution (liver 80%, spleen 10%), endosomal escape is a bottleneck at 1-4% efficiency (Gilleron et al., 2013)—meaning over 96% of your expensive therapeutic never reaches its destination—and circRNA degradation follows exonuclease-resistant pathways. Standard PK models omit these. circRNA innate immune sensing also differs: circRNAs lack 5’ termini, so RIG-I 5’-ppp sensing does not apply (Hornung et al., 2006); instead, immunogenicity arises from dsRNA backbone structures sensed by MDA5 (Chen et al., 2019; Peisley and Hur, 2013) and modulated by intron identity. Existing tools assume linear RNA sensing. Finally, no deep learning architecture handles circRNA’s S¹ topology, where position i and i+L are the same location.</w:t>
      </w:r>
    </w:p>
    <w:p>
      <w:pPr>
        <w:pStyle w:val="BodyText"/>
      </w:pPr>
      <w:r>
        <w:t xml:space="preserve">Confluencia 3.0 fills these gaps through an EventBus architecture that couples: (1) TNBC Simulacrum with spatial TME simulation and subclonal evolution, (2) CirculaPK pharmacokinetics with circRNA-specific compartments, (3) circRNA-specific immunogenicity scoring with pathway-resolved sensing, and (4) RL-ABM closed-loop sequence evolution. We further propose TorusFold as a theoretical structure architecture.</w:t>
      </w:r>
    </w:p>
    <w:bookmarkEnd w:id="11"/>
    <w:bookmarkStart w:id="12" w:name="the-structure-prediction-challenge"/>
    <w:p>
      <w:pPr>
        <w:pStyle w:val="Heading3"/>
      </w:pPr>
      <w:r>
        <w:t xml:space="preserve">The Structure Prediction Challenge</w:t>
      </w:r>
    </w:p>
    <w:p>
      <w:pPr>
        <w:pStyle w:val="FirstParagraph"/>
      </w:pPr>
      <w:r>
        <w:t xml:space="preserve">Current circRNA structure prediction relies on thermodynamic models (ViennaRNA circ mode) that correctly handle circular topology through dynamic programming. However, thermodynamic models do not directly support structure-informed downstream tasks such as predicting BSJ-flanking region stability, estimating IRES accessibility in 3D context, or modeling ribosome binding site exposure.</w:t>
      </w:r>
    </w:p>
    <w:p>
      <w:pPr>
        <w:pStyle w:val="BodyText"/>
      </w:pPr>
      <w:r>
        <w:t xml:space="preserve">Deep learning approaches (AlphaFold, ESM) revolutionized protein structure prediction but are not designed for circRNA’s S¹ topology. Standard positional encoding PE(i) ≠ PE(i+L) for circRNA lengths, breaking periodicity at the BSJ—a problem that would not exist if circRNA could politely inform the transformer that it is, in fact, circular. We propose TorusFold as a theoretical architecture that natively models circular topology. Its validation awaits circRNA 3D structure data, which we propose as circRNA-CASP, analogous to CASP’s role in validating protein structure predictors.</w:t>
      </w:r>
    </w:p>
    <w:bookmarkEnd w:id="12"/>
    <w:bookmarkStart w:id="13" w:name="Xe2285046776d2fd72b62eca7a497c5df23a190c"/>
    <w:p>
      <w:pPr>
        <w:pStyle w:val="Heading3"/>
      </w:pPr>
      <w:r>
        <w:t xml:space="preserve">The Accessibility, Extensibility, and Data Sharing Problem</w:t>
      </w:r>
    </w:p>
    <w:p>
      <w:pPr>
        <w:pStyle w:val="FirstParagraph"/>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t xml:space="preserve">Beyond accessibility, a critical challenge is longevity: algorithms become outdated as methods emerge. Confluencia 3.0 addresses this through an EventBus architecture that decouples modules via event-driven communication. Each component subscribes to events and emits results independently; new algorithms can replace existing implementations without modifying other modules. This ensures the platform remains current as methods evolve rather than becoming obsolete when individual algorithms are superseded.</w:t>
      </w:r>
    </w:p>
    <w:p>
      <w:pPr>
        <w:pStyle w:val="BodyText"/>
      </w:pPr>
      <w:r>
        <w:t xml:space="preserve">The small-sample problem is endemic to circRNA computational work. We introduce Confluencia Hub, a federated model and data sharing system where users upload trained model bundles, not raw data. Privacy is preserved: no SMILES or nucleotide sequences are logged; data contributors can strip statistical traces (env_medians) before upload. Ethics-gated uploads require data source declaration (DOI or IRB number) and dual-use screening, directly addressing the small-sample problem through collaborative aggregation.</w:t>
      </w:r>
    </w:p>
    <w:p>
      <w:r>
        <w:pict>
          <v:rect style="width:0;height:1.5pt" o:hralign="center" o:hrstd="t" o:hr="t"/>
        </w:pict>
      </w:r>
    </w:p>
    <w:bookmarkEnd w:id="13"/>
    <w:bookmarkEnd w:id="14"/>
    <w:bookmarkStart w:id="25" w:name="methods"/>
    <w:p>
      <w:pPr>
        <w:pStyle w:val="Heading2"/>
      </w:pPr>
      <w:r>
        <w:t xml:space="preserve">Methods</w:t>
      </w:r>
    </w:p>
    <w:bookmarkStart w:id="18" w:name="module-1-tnbc-simulacrum"/>
    <w:p>
      <w:pPr>
        <w:pStyle w:val="Heading3"/>
      </w:pPr>
      <w:r>
        <w:t xml:space="preserve">Module 1: TNBC Simulacrum</w:t>
      </w:r>
    </w:p>
    <w:p>
      <w:pPr>
        <w:pStyle w:val="FirstParagraph"/>
      </w:pPr>
      <w:r>
        <w:rPr>
          <w:b/>
          <w:bCs/>
        </w:rPr>
        <w:t xml:space="preserve">Parameterization.</w:t>
      </w:r>
      <w:r>
        <w:t xml:space="preserve"> </w:t>
      </w:r>
      <w:r>
        <w:t xml:space="preserve">Jiang et al. (2019) classified 360 TNBC tumors into four subtypes via RNA-seq and immune profiling (Supplementary Table S2). Subtype-specific parameters:</w:t>
      </w:r>
    </w:p>
    <w:p>
      <w:pPr>
        <w:pStyle w:val="Compact"/>
        <w:numPr>
          <w:ilvl w:val="0"/>
          <w:numId w:val="1001"/>
        </w:numPr>
      </w:pPr>
      <w:r>
        <w:rPr>
          <w:b/>
          <w:bCs/>
        </w:rPr>
        <w:t xml:space="preserve">BLIS</w:t>
      </w:r>
      <w:r>
        <w:t xml:space="preserve"> </w:t>
      </w:r>
      <w:r>
        <w:t xml:space="preserve">(n=108): TIL 0.08-0.15 [mean 0.12], worst prognosis, BRCA1-associated, early immune escape by cycle 12</w:t>
      </w:r>
    </w:p>
    <w:p>
      <w:pPr>
        <w:pStyle w:val="Compact"/>
        <w:numPr>
          <w:ilvl w:val="0"/>
          <w:numId w:val="1001"/>
        </w:numPr>
      </w:pPr>
      <w:r>
        <w:rPr>
          <w:b/>
          <w:bCs/>
        </w:rPr>
        <w:t xml:space="preserve">BLIA</w:t>
      </w:r>
      <w:r>
        <w:t xml:space="preserve"> </w:t>
      </w:r>
      <w:r>
        <w:t xml:space="preserve">(n=72): TIL 0.25-0.40 [mean 0.33], immune gene signatures (STAT1, CXCL10), immune-activated profile</w:t>
      </w:r>
    </w:p>
    <w:p>
      <w:pPr>
        <w:pStyle w:val="Compact"/>
        <w:numPr>
          <w:ilvl w:val="0"/>
          <w:numId w:val="1001"/>
        </w:numPr>
      </w:pPr>
      <w:r>
        <w:rPr>
          <w:b/>
          <w:bCs/>
        </w:rPr>
        <w:t xml:space="preserve">IM</w:t>
      </w:r>
      <w:r>
        <w:t xml:space="preserve"> </w:t>
      </w:r>
      <w:r>
        <w:t xml:space="preserve">(n=85): TIL 0.50-0.70 [mean 0.60], PD-L1 0.40-0.60 [mean 0.50], checkpoint inhibitor responsive, sustains immunoediting equilibrium</w:t>
      </w:r>
    </w:p>
    <w:p>
      <w:pPr>
        <w:pStyle w:val="Compact"/>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SourceCode"/>
      </w:pPr>
      <w:r>
        <w:rPr>
          <w:rStyle w:val="VerbatimChar"/>
        </w:rPr>
        <w:t xml:space="preserve">dT/dt = r_T · T · (1 - T/K) - d_T · TIL · T     # tumor growth with immune killing</w:t>
      </w:r>
      <w:r>
        <w:br/>
      </w:r>
      <w:r>
        <w:rPr>
          <w:rStyle w:val="VerbatimChar"/>
        </w:rPr>
        <w:t xml:space="preserve">dTIL/dt = r_TIL · (T/K) - d_TIL · T               # TIL recruitment and exhaustion</w:t>
      </w:r>
      <w:r>
        <w:br/>
      </w:r>
      <w:r>
        <w:rPr>
          <w:rStyle w:val="VerbatimChar"/>
        </w:rPr>
        <w:t xml:space="preserve">dP/dt = k_cp · circRNA - d_P · P                   # circRNA protein expression</w:t>
      </w:r>
    </w:p>
    <w:p>
      <w:pPr>
        <w:pStyle w:val="FirstParagraph"/>
      </w:pPr>
      <w:r>
        <w:rPr>
          <w:b/>
          <w:bCs/>
        </w:rPr>
        <w:t xml:space="preserve">Important caveat.</w:t>
      </w:r>
      <w:r>
        <w:t xml:space="preserve"> </w:t>
      </w:r>
      <w:r>
        <w:t xml:space="preserve">These dynamics recapitulate input assumptions. IM is parameterized with higher TIL (0.50-0.70) than BLIS (0.08-0.15); the finding that IM responds better to immunotherapy is a direct consequence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p>
      <w:pPr>
        <w:pStyle w:val="CaptionedFigure"/>
      </w:pPr>
      <w:r>
        <w:drawing>
          <wp:inline>
            <wp:extent cx="5334000" cy="4868825"/>
            <wp:effectExtent b="0" l="0" r="0" t="0"/>
            <wp:docPr descr="TNBC simulation results across four molecular subtypes. (A) Tumor-immune dynamics showing immunoediting phases. (B) Shannon diversity evolution under chemotherapy pressure. (C) TME classification and spatial compartment effects. (D) Subclonal evolution with drug-induced genomic instability." title="" id="16" name="Picture"/>
            <a:graphic>
              <a:graphicData uri="http://schemas.openxmlformats.org/drawingml/2006/picture">
                <pic:pic>
                  <pic:nvPicPr>
                    <pic:cNvPr descr="figures/fig3_tnbc_simulation.png" id="17" name="Picture"/>
                    <pic:cNvPicPr>
                      <a:picLocks noChangeArrowheads="1" noChangeAspect="1"/>
                    </pic:cNvPicPr>
                  </pic:nvPicPr>
                  <pic:blipFill>
                    <a:blip r:embed="rId15"/>
                    <a:stretch>
                      <a:fillRect/>
                    </a:stretch>
                  </pic:blipFill>
                  <pic:spPr bwMode="auto">
                    <a:xfrm>
                      <a:off x="0" y="0"/>
                      <a:ext cx="5334000" cy="4868825"/>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p>
      <w:pPr>
        <w:pStyle w:val="BodyText"/>
      </w:pPr>
      <w:r>
        <w:rPr>
          <w:b/>
          <w:bCs/>
        </w:rPr>
        <w:t xml:space="preserve">Subclonal Evolution with Drug-Induced Instability.</w:t>
      </w:r>
      <w:r>
        <w:t xml:space="preserve"> </w:t>
      </w:r>
      <w:r>
        <w:t xml:space="preserve">Tumor heterogeneity is tracked via Shannon diversity H = -Σ p_i log(p_i) across subclones, acknowledging that this discrete approximation simplifies the continuous reality of tumor heterogeneity. Drug pressure induces genomic instability: mutation rate increases from baseline 1%/step to 50%/step under treatment, modeling the clinical reality of accelerated mutagenesis under chemotherapy (Ding et al., 2012). Resistant clones acquire selection advantage proportional to drug concentration, capturing the emergence of drug resistance that static tumor models cannot predict. Epigenetic adaptation occurs at 2%/step, modeling non-genetic resistance mechanisms. The EventBus emits DRUG_RESISTANCE_EMERGED events when Shannon diversity exceeds threshold, triggering treatment adaptation.</w:t>
      </w:r>
    </w:p>
    <w:p>
      <w:pPr>
        <w:pStyle w:val="BodyText"/>
      </w:pPr>
      <w:r>
        <w:rPr>
          <w:b/>
          <w:bCs/>
        </w:rPr>
        <w:t xml:space="preserve">Spatial TME Simulation.</w:t>
      </w:r>
      <w:r>
        <w:t xml:space="preserve"> </w:t>
      </w:r>
      <w:r>
        <w:t xml:space="preserve">The tumor microenvironment is modeled across three spatial compartments with distinct properties:</w:t>
      </w:r>
    </w:p>
    <w:tbl>
      <w:tblPr>
        <w:tblStyle w:val="Table"/>
        <w:tblW w:type="pct" w:w="5000"/>
        <w:tblLayout w:type="fixed"/>
        <w:tblLook w:firstRow="1" w:lastRow="0" w:firstColumn="0" w:lastColumn="0" w:noHBand="0" w:noVBand="0" w:val="0020"/>
      </w:tblPr>
      <w:tblGrid>
        <w:gridCol w:w="1430"/>
        <w:gridCol w:w="880"/>
        <w:gridCol w:w="1870"/>
        <w:gridCol w:w="2200"/>
        <w:gridCol w:w="1540"/>
      </w:tblGrid>
      <w:tr>
        <w:trPr>
          <w:tblHeader w:val="on"/>
        </w:trPr>
        <w:tc>
          <w:tcPr/>
          <w:p>
            <w:pPr>
              <w:pStyle w:val="Compact"/>
            </w:pPr>
            <w:r>
              <w:t xml:space="preserve">Compartment</w:t>
            </w:r>
          </w:p>
        </w:tc>
        <w:tc>
          <w:tcPr/>
          <w:p>
            <w:pPr>
              <w:pStyle w:val="Compact"/>
            </w:pPr>
            <w:r>
              <w:t xml:space="preserve">Oxygen</w:t>
            </w:r>
          </w:p>
        </w:tc>
        <w:tc>
          <w:tcPr/>
          <w:p>
            <w:pPr>
              <w:pStyle w:val="Compact"/>
            </w:pPr>
            <w:r>
              <w:t xml:space="preserve">Drug Penetration</w:t>
            </w:r>
          </w:p>
        </w:tc>
        <w:tc>
          <w:tcPr/>
          <w:p>
            <w:pPr>
              <w:pStyle w:val="Compact"/>
            </w:pPr>
            <w:r>
              <w:t xml:space="preserve">Immune Cell Density</w:t>
            </w:r>
          </w:p>
        </w:tc>
        <w:tc>
          <w:tcPr/>
          <w:p>
            <w:pPr>
              <w:pStyle w:val="Compact"/>
            </w:pPr>
            <w:r>
              <w:t xml:space="preserve">Key Features</w:t>
            </w:r>
          </w:p>
        </w:tc>
      </w:tr>
      <w:tr>
        <w:tc>
          <w:tcPr/>
          <w:p>
            <w:pPr>
              <w:pStyle w:val="Compact"/>
            </w:pPr>
            <w:r>
              <w:t xml:space="preserve">Hypoxic core</w:t>
            </w:r>
          </w:p>
        </w:tc>
        <w:tc>
          <w:tcPr/>
          <w:p>
            <w:pPr>
              <w:pStyle w:val="Compact"/>
            </w:pPr>
            <w:r>
              <w:t xml:space="preserve">&lt;2%</w:t>
            </w:r>
          </w:p>
        </w:tc>
        <w:tc>
          <w:tcPr/>
          <w:p>
            <w:pPr>
              <w:pStyle w:val="Compact"/>
            </w:pPr>
            <w:r>
              <w:t xml:space="preserve">Low (20-40%)</w:t>
            </w:r>
          </w:p>
        </w:tc>
        <w:tc>
          <w:tcPr/>
          <w:p>
            <w:pPr>
              <w:pStyle w:val="Compact"/>
            </w:pPr>
            <w:r>
              <w:t xml:space="preserve">Sparse</w:t>
            </w:r>
          </w:p>
        </w:tc>
        <w:tc>
          <w:tcPr/>
          <w:p>
            <w:pPr>
              <w:pStyle w:val="Compact"/>
            </w:pPr>
            <w:r>
              <w:t xml:space="preserve">HIF-1α active, immunosuppressive</w:t>
            </w:r>
          </w:p>
        </w:tc>
      </w:tr>
      <w:tr>
        <w:tc>
          <w:tcPr/>
          <w:p>
            <w:pPr>
              <w:pStyle w:val="Compact"/>
            </w:pPr>
            <w:r>
              <w:t xml:space="preserve">Immune-rich margin</w:t>
            </w:r>
          </w:p>
        </w:tc>
        <w:tc>
          <w:tcPr/>
          <w:p>
            <w:pPr>
              <w:pStyle w:val="Compact"/>
            </w:pPr>
            <w:r>
              <w:t xml:space="preserve">5-10%</w:t>
            </w:r>
          </w:p>
        </w:tc>
        <w:tc>
          <w:tcPr/>
          <w:p>
            <w:pPr>
              <w:pStyle w:val="Compact"/>
            </w:pPr>
            <w:r>
              <w:t xml:space="preserve">Moderate (60-80%)</w:t>
            </w:r>
          </w:p>
        </w:tc>
        <w:tc>
          <w:tcPr/>
          <w:p>
            <w:pPr>
              <w:pStyle w:val="Compact"/>
            </w:pPr>
            <w:r>
              <w:t xml:space="preserve">High</w:t>
            </w:r>
          </w:p>
        </w:tc>
        <w:tc>
          <w:tcPr/>
          <w:p>
            <w:pPr>
              <w:pStyle w:val="Compact"/>
            </w:pPr>
            <w:r>
              <w:t xml:space="preserve">Active immune surveillance</w:t>
            </w:r>
          </w:p>
        </w:tc>
      </w:tr>
      <w:tr>
        <w:tc>
          <w:tcPr/>
          <w:p>
            <w:pPr>
              <w:pStyle w:val="Compact"/>
            </w:pPr>
            <w:r>
              <w:t xml:space="preserve">Stromal barrier</w:t>
            </w:r>
          </w:p>
        </w:tc>
        <w:tc>
          <w:tcPr/>
          <w:p>
            <w:pPr>
              <w:pStyle w:val="Compact"/>
            </w:pPr>
            <w:r>
              <w:t xml:space="preserve">2-5%</w:t>
            </w:r>
          </w:p>
        </w:tc>
        <w:tc>
          <w:tcPr/>
          <w:p>
            <w:pPr>
              <w:pStyle w:val="Compact"/>
            </w:pPr>
            <w:r>
              <w:t xml:space="preserve">Variable (40-70%)</w:t>
            </w:r>
          </w:p>
        </w:tc>
        <w:tc>
          <w:tcPr/>
          <w:p>
            <w:pPr>
              <w:pStyle w:val="Compact"/>
            </w:pPr>
            <w:r>
              <w:t xml:space="preserve">Moderate</w:t>
            </w:r>
          </w:p>
        </w:tc>
        <w:tc>
          <w:tcPr/>
          <w:p>
            <w:pPr>
              <w:pStyle w:val="Compact"/>
            </w:pPr>
            <w:r>
              <w:t xml:space="preserve">CAF-mediated exclusion</w:t>
            </w:r>
          </w:p>
        </w:tc>
      </w:tr>
    </w:tbl>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 → ADC response 0.85, circRNA efficacy 0.78; B7H4-high → immuno_response 0.82.</w:t>
      </w:r>
    </w:p>
    <w:p>
      <w:pPr>
        <w:pStyle w:val="BodyText"/>
      </w:pPr>
      <w:r>
        <w:rPr>
          <w:b/>
          <w:bCs/>
        </w:rPr>
        <w:t xml:space="preserve">Bio-Mimetic Drug Architecture.</w:t>
      </w:r>
      <w:r>
        <w:t xml:space="preserve"> </w:t>
      </w:r>
      <w:r>
        <w:t xml:space="preserve">The drug ADMET prediction incorporates four brain-inspired components: (1) Topology Pharmacophore Network, representing molecules as scale-free graphs of pharmacophore nodes (HBD, HBA, hydrophobic, aromatic) with degree centrality features; (2) Tissue-Specific Dynamic Attention, generating patient-specific gating weights based on physiological state (liver function, kidney function, inflammation, pH); (3) Adversarial Synaptic Pruning, combining Pareto optimization with competitive selection to eliminate poor molecule candidates; (4) Neuroplastic Closed-Loop, adjusting model structure when clinical feedback indicates prediction error &gt;0.3, implementing three-tier adaptation: fine-tuning (small errors), weight reconfiguration (moderate), structural plasticity (large errors). This architecture enables tissue-specific ADMET modulation and clinical feedback integration without retraining.</w:t>
      </w:r>
    </w:p>
    <w:bookmarkEnd w:id="18"/>
    <w:bookmarkStart w:id="19" w:name="module-2-circulapk-pharmacokinetics"/>
    <w:p>
      <w:pPr>
        <w:pStyle w:val="Heading3"/>
      </w:pPr>
      <w:r>
        <w:t xml:space="preserve">Module 2: CirculaPK Pharmacokinetics</w:t>
      </w:r>
    </w:p>
    <w:p>
      <w:pPr>
        <w:pStyle w:val="FirstParagraph"/>
      </w:pPr>
      <w:r>
        <w:rPr>
          <w:b/>
          <w:bCs/>
        </w:rPr>
        <w:t xml:space="preserve">Compartment Structure.</w:t>
      </w:r>
      <w:r>
        <w:t xml:space="preserve"> </w:t>
      </w:r>
      <w:r>
        <w:t xml:space="preserve">Six compartments: Injection → LNP → Endosome → Cytoplasm → Protein → Clearance. This structure captures three circRNA-specific bottlenecks that linear mRNA PK models omit:</w:t>
      </w:r>
    </w:p>
    <w:p>
      <w:pPr>
        <w:pStyle w:val="Compact"/>
        <w:numPr>
          <w:ilvl w:val="0"/>
          <w:numId w:val="1002"/>
        </w:numPr>
      </w:pPr>
      <w:r>
        <w:rPr>
          <w:b/>
          <w:bCs/>
        </w:rPr>
        <w:t xml:space="preserve">LNP encapsulation</w:t>
      </w:r>
      <w:r>
        <w:t xml:space="preserve"> </w:t>
      </w:r>
      <w:r>
        <w:t xml:space="preserve">with tissue-specific biodistribution (liver 0.80, spleen 0.10 per Paunovska et al., 2018).</w:t>
      </w:r>
    </w:p>
    <w:p>
      <w:pPr>
        <w:pStyle w:val="Compact"/>
        <w:numPr>
          <w:ilvl w:val="0"/>
          <w:numId w:val="1002"/>
        </w:numPr>
      </w:pPr>
      <w:r>
        <w:rPr>
          <w:b/>
          <w:bCs/>
        </w:rPr>
        <w:t xml:space="preserve">Endosomal escape</w:t>
      </w:r>
      <w:r>
        <w:t xml:space="preserve"> </w:t>
      </w:r>
      <w:r>
        <w:t xml:space="preserve">at 1-4% efficiency (Gilleron et al., 2013; Hou et al., 2021). The escape rate k_ec = 0.025/h is derived from stochastic efficiency η = 0.02-0.04 (Gilleron 2013) converted to first-order kinetics.</w:t>
      </w:r>
    </w:p>
    <w:p>
      <w:pPr>
        <w:pStyle w:val="Compact"/>
        <w:numPr>
          <w:ilvl w:val="0"/>
          <w:numId w:val="1002"/>
        </w:numPr>
      </w:pPr>
      <w:r>
        <w:rPr>
          <w:b/>
          <w:bCs/>
        </w:rPr>
        <w:t xml:space="preserve">IRES-dependent translation</w:t>
      </w:r>
      <w:r>
        <w:t xml:space="preserve"> </w:t>
      </w:r>
      <w:r>
        <w:t xml:space="preserve">at 0.02-0.32/h depending on IRES sequence (e.g., EMCV IRES ~0.25/h, HIV-1 IRES ~0.08/h;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 k_ab=0.80/h (absorption), k_be=0.025/h (endosomal uptake), k_ec=0.025/h (escape), k_cp=0.02-0.32/h (translation, IRES-dependent), k_cd=0.04-0.12/h (degradation, modification-adjusted), k_pc=0.10-0.20/h (protein clearance). RK45 integration outputs AUC, C_max, half-life.</w:t>
      </w:r>
    </w:p>
    <w:p>
      <w:pPr>
        <w:pStyle w:val="BodyText"/>
      </w:pPr>
      <w:r>
        <w:rPr>
          <w:b/>
          <w:bCs/>
        </w:rPr>
        <w:t xml:space="preserve">Modification Effects.</w:t>
      </w:r>
      <w:r>
        <w:t xml:space="preserve"> </w:t>
      </w:r>
      <w:r>
        <w:t xml:space="preserve">Nucleotide modifications alter degradation rate k_cd: unmodified circRNA k_cd = 0.12/h; m6A reduces to 0.06-0.08/h; Psi reduces to 0.04-0.06/h. These adjustments are derived from in vitro stability data and applied as multipliers to the base degradation rate.</w:t>
      </w:r>
    </w:p>
    <w:bookmarkEnd w:id="19"/>
    <w:bookmarkStart w:id="23" w:name="Xcede5b72b7862712197598da8f9d67c19ab148b"/>
    <w:p>
      <w:pPr>
        <w:pStyle w:val="Heading3"/>
      </w:pPr>
      <w:r>
        <w:t xml:space="preserve">Module 3: circRNA-Specific Innate Immune Sensing</w:t>
      </w:r>
    </w:p>
    <w:p>
      <w:pPr>
        <w:pStyle w:val="FirstParagraph"/>
      </w:pPr>
      <w:r>
        <w:t xml:space="preserve">This module implements the first immunogenicity scoring system that explicitly distinguishes circRNA from linear RNA innate immune activation mechanisms. The key biological insight is that circRNAs lack 5’ termini, invalidating the canonical RIG-I 5’-ppp sensing pathway (Hornung et al., 2006).</w:t>
      </w:r>
    </w:p>
    <w:p>
      <w:pPr>
        <w:pStyle w:val="BodyText"/>
      </w:pPr>
      <w:r>
        <w:rPr>
          <w:b/>
          <w:bCs/>
        </w:rPr>
        <w:t xml:space="preserve">Important caveat on circRNA production method.</w:t>
      </w:r>
      <w:r>
        <w:t xml:space="preserve"> </w:t>
      </w:r>
      <w:r>
        <w:t xml:space="preserve">Chen et al. (2019) 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 The pathway labels, mechanisms, and confidence levels are:</w:t>
      </w:r>
    </w:p>
    <w:tbl>
      <w:tblPr>
        <w:tblStyle w:val="Table"/>
        <w:tblW w:type="pct" w:w="5000"/>
        <w:tblLayout w:type="fixed"/>
        <w:tblLook w:firstRow="1" w:lastRow="0" w:firstColumn="0" w:lastColumn="0" w:noHBand="0" w:noVBand="0" w:val="0020"/>
      </w:tblPr>
      <w:tblGrid>
        <w:gridCol w:w="963"/>
        <w:gridCol w:w="856"/>
        <w:gridCol w:w="2889"/>
        <w:gridCol w:w="1926"/>
        <w:gridCol w:w="1284"/>
      </w:tblGrid>
      <w:tr>
        <w:trPr>
          <w:tblHeader w:val="on"/>
        </w:trPr>
        <w:tc>
          <w:tcPr/>
          <w:p>
            <w:pPr>
              <w:pStyle w:val="Compact"/>
            </w:pPr>
            <w:r>
              <w:t xml:space="preserve">Pathway</w:t>
            </w:r>
          </w:p>
        </w:tc>
        <w:tc>
          <w:tcPr/>
          <w:p>
            <w:pPr>
              <w:pStyle w:val="Compact"/>
            </w:pPr>
            <w:r>
              <w:t xml:space="preserve">Sensor</w:t>
            </w:r>
          </w:p>
        </w:tc>
        <w:tc>
          <w:tcPr/>
          <w:p>
            <w:pPr>
              <w:pStyle w:val="Compact"/>
            </w:pPr>
            <w:r>
              <w:t xml:space="preserve">circRNA Sensing Mechanism</w:t>
            </w:r>
          </w:p>
        </w:tc>
        <w:tc>
          <w:tcPr/>
          <w:p>
            <w:pPr>
              <w:pStyle w:val="Compact"/>
            </w:pPr>
            <w:r>
              <w:t xml:space="preserve">Literature Basis</w:t>
            </w:r>
          </w:p>
        </w:tc>
        <w:tc>
          <w:tcPr/>
          <w:p>
            <w:pPr>
              <w:pStyle w:val="Compact"/>
            </w:pPr>
            <w:r>
              <w:t xml:space="preserve">Confidence</w:t>
            </w:r>
          </w:p>
        </w:tc>
      </w:tr>
      <w:tr>
        <w:tc>
          <w:tcPr/>
          <w:p>
            <w:pPr>
              <w:pStyle w:val="Compact"/>
            </w:pPr>
            <w:r>
              <w:t xml:space="preserve">MDA5/dsRNA</w:t>
            </w:r>
          </w:p>
        </w:tc>
        <w:tc>
          <w:tcPr/>
          <w:p>
            <w:pPr>
              <w:pStyle w:val="Compact"/>
            </w:pPr>
            <w:r>
              <w:t xml:space="preserve">MDA5</w:t>
            </w:r>
          </w:p>
        </w:tc>
        <w:tc>
          <w:tcPr/>
          <w:p>
            <w:pPr>
              <w:pStyle w:val="Compact"/>
            </w:pPr>
            <w:r>
              <w:t xml:space="preserve">Long dsRNA structures (&gt;16 bp), inverted repeats</w:t>
            </w:r>
          </w:p>
        </w:tc>
        <w:tc>
          <w:tcPr/>
          <w:p>
            <w:pPr>
              <w:pStyle w:val="Compact"/>
            </w:pPr>
            <w:r>
              <w:t xml:space="preserve">Chen 2019, Peisley and Hur 2013</w:t>
            </w:r>
          </w:p>
        </w:tc>
        <w:tc>
          <w:tcPr/>
          <w:p>
            <w:pPr>
              <w:pStyle w:val="Compact"/>
            </w:pPr>
            <w:r>
              <w:t xml:space="preserve">Medium</w:t>
            </w:r>
          </w:p>
        </w:tc>
      </w:tr>
    </w:tbl>
    <w:p>
      <w:pPr>
        <w:pStyle w:val="CaptionedFigure"/>
      </w:pPr>
      <w:r>
        <w:drawing>
          <wp:inline>
            <wp:extent cx="5334000" cy="2566407"/>
            <wp:effectExtent b="0" l="0" r="0" t="0"/>
            <wp:docPr descr="Immunogenicity model validation. (A) Correlation with Chen 2019 IFN-β measurements (Spearman r=0.91, N=7). (B) HEK293 validation (r=0.68 [CI 0.26-0.88], N=15). (C) Pathway contribution analysis. (D) GC confound analysis: pathway model vs. GC-only baseline (ΔAIC = -8.2, p=0.004)." title="" id="21" name="Picture"/>
            <a:graphic>
              <a:graphicData uri="http://schemas.openxmlformats.org/drawingml/2006/picture">
                <pic:pic>
                  <pic:nvPicPr>
                    <pic:cNvPr descr="figures/fig5_immunogenicity_correlation.png" id="22" name="Picture"/>
                    <pic:cNvPicPr>
                      <a:picLocks noChangeArrowheads="1" noChangeAspect="1"/>
                    </pic:cNvPicPr>
                  </pic:nvPicPr>
                  <pic:blipFill>
                    <a:blip r:embed="rId20"/>
                    <a:stretch>
                      <a:fillRect/>
                    </a:stretch>
                  </pic:blipFill>
                  <pic:spPr bwMode="auto">
                    <a:xfrm>
                      <a:off x="0" y="0"/>
                      <a:ext cx="5334000" cy="2566407"/>
                    </a:xfrm>
                    <a:prstGeom prst="rect">
                      <a:avLst/>
                    </a:prstGeom>
                    <a:noFill/>
                    <a:ln w="9525">
                      <a:noFill/>
                      <a:headEnd/>
                      <a:tailEnd/>
                    </a:ln>
                  </pic:spPr>
                </pic:pic>
              </a:graphicData>
            </a:graphic>
          </wp:inline>
        </w:drawing>
      </w:r>
    </w:p>
    <w:p>
      <w:pPr>
        <w:pStyle w:val="ImageCaption"/>
      </w:pPr>
      <w:r>
        <w:t xml:space="preserve">Immunogenicity model validation. (A) Correlation with Chen 2019 IFN-β measurements (Spearman r=0.91, N=7). (B) HEK293 validation (r=0.68 [CI 0.26-0.88], N=15). (C) Pathway contribution analysis. (D) GC confound analysis: pathway model vs. GC-only baseline (ΔAIC = -8.2, p=0.004).</w:t>
      </w:r>
    </w:p>
    <w:p>
      <w:pPr>
        <w:pStyle w:val="BodyText"/>
      </w:pPr>
      <w:r>
        <w:t xml:space="preserve">TLR7 | TLR7 | GU-rich ssRNA motifs in endosome | Gilleron 2013 | Medium |</w:t>
      </w:r>
      <w:r>
        <w:br/>
      </w:r>
      <w:r>
        <w:t xml:space="preserve">TLR8 | TLR8 | AU-rich ssRNA motifs with uridine preference | Gilleron 2013 | Medium |</w:t>
      </w:r>
      <w:r>
        <w:br/>
      </w:r>
      <w:r>
        <w:t xml:space="preserve">PKR | PKR | dsRNA length &gt;33 bp | Nallagatla 2007 | High |</w:t>
      </w:r>
    </w:p>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 (Peisley and Hur, 2013). Chen et al. (2019) demonstrated that circRNA immunogenicity correlates with dsRNA content and intron identity, not terminal features. The scoring identifies inverted repeat Alu elements and extended stem structures (&gt;16 bp) that form dsRNA backbones; this threshold identifies potential MDA5 ligands, though activation strength scales cooperatively with dsRNA length (Peisley and Hur, 2013). Signaling proceeds through MAVS → IRF3/7 → IFN-β.</w:t>
      </w:r>
    </w:p>
    <w:p>
      <w:pPr>
        <w:pStyle w:val="BodyText"/>
      </w:pPr>
      <w:r>
        <w:rPr>
          <w:b/>
          <w:bCs/>
        </w:rPr>
        <w:t xml:space="preserve">TLR7/TLR8 Pathways (0.20/0.15).</w:t>
      </w:r>
      <w:r>
        <w:t xml:space="preserve"> </w:t>
      </w:r>
      <w:r>
        <w:t xml:space="preserve">These endosomal sensors dominate for LNP formulations (&gt;96% endosomal residence per Gilleron et al., 2013). We score TLR7 and TLR8 separately with distinct motif preferences:</w:t>
      </w:r>
      <w:r>
        <w:t xml:space="preserve"> </w:t>
      </w:r>
      <w:r>
        <w:t xml:space="preserve">- TLR7: GU-rich motifs (5’-GUGU-3’, 5’-GUCC-3’) in single-stranded regions</w:t>
      </w:r>
      <w:r>
        <w:t xml:space="preserve"> </w:t>
      </w:r>
      <w:r>
        <w:t xml:space="preserve">- TLR8: AU-rich motifs (5’-AU-3’, 5’-UUAU-3’) with uridine preference</w:t>
      </w:r>
    </w:p>
    <w:p>
      <w:pPr>
        <w:pStyle w:val="BodyText"/>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 &gt;33 bp (Nallagatla et al., 2007). circRNA circularity does not affect PKR activation (no termini requirement). The scoring counts dsRNA regions exceeding the 33 bp threshold.</w:t>
      </w:r>
    </w:p>
    <w:p>
      <w:pPr>
        <w:pStyle w:val="BodyText"/>
      </w:pPr>
      <w:r>
        <w:rPr>
          <w:b/>
          <w:bCs/>
        </w:rPr>
        <w:t xml:space="preserve">Differential m6A Suppression (Estimated Parameters).</w:t>
      </w:r>
      <w:r>
        <w:t xml:space="preserve"> </w:t>
      </w:r>
      <w:r>
        <w:t xml:space="preserve">m6A modification suppresses immune activation with pathway-specific intensity. These values are estimated from mechanistic reasoning, not directly measured in circRNA systems:</w:t>
      </w:r>
    </w:p>
    <w:tbl>
      <w:tblPr>
        <w:tblStyle w:val="Table"/>
        <w:tblW w:type="pct" w:w="5000"/>
        <w:tblLayout w:type="fixed"/>
        <w:tblLook w:firstRow="1" w:lastRow="0" w:firstColumn="0" w:lastColumn="0" w:noHBand="0" w:noVBand="0" w:val="0020"/>
      </w:tblPr>
      <w:tblGrid>
        <w:gridCol w:w="976"/>
        <w:gridCol w:w="2820"/>
        <w:gridCol w:w="2386"/>
        <w:gridCol w:w="1735"/>
      </w:tblGrid>
      <w:tr>
        <w:trPr>
          <w:tblHeader w:val="on"/>
        </w:trPr>
        <w:tc>
          <w:tcPr/>
          <w:p>
            <w:pPr>
              <w:pStyle w:val="Compact"/>
            </w:pPr>
            <w:r>
              <w:t xml:space="preserve">Pathway</w:t>
            </w:r>
          </w:p>
        </w:tc>
        <w:tc>
          <w:tcPr/>
          <w:p>
            <w:pPr>
              <w:pStyle w:val="Compact"/>
            </w:pPr>
            <w:r>
              <w:t xml:space="preserve">Estimated m6A Suppression</w:t>
            </w:r>
          </w:p>
        </w:tc>
        <w:tc>
          <w:tcPr/>
          <w:p>
            <w:pPr>
              <w:pStyle w:val="Compact"/>
            </w:pPr>
            <w:r>
              <w:t xml:space="preserve">Mechanistic Rationale</w:t>
            </w:r>
          </w:p>
        </w:tc>
        <w:tc>
          <w:tcPr/>
          <w:p>
            <w:pPr>
              <w:pStyle w:val="Compact"/>
            </w:pPr>
            <w:r>
              <w:t xml:space="preserve">Evidence Level</w:t>
            </w:r>
          </w:p>
        </w:tc>
      </w:tr>
      <w:tr>
        <w:tc>
          <w:tcPr/>
          <w:p>
            <w:pPr>
              <w:pStyle w:val="Compact"/>
            </w:pPr>
            <w:r>
              <w:t xml:space="preserve">MDA5/dsRNA</w:t>
            </w:r>
          </w:p>
        </w:tc>
        <w:tc>
          <w:tcPr/>
          <w:p>
            <w:pPr>
              <w:pStyle w:val="Compact"/>
            </w:pPr>
            <w:r>
              <w:t xml:space="preserve">~90%</w:t>
            </w:r>
          </w:p>
        </w:tc>
        <w:tc>
          <w:tcPr/>
          <w:p>
            <w:pPr>
              <w:pStyle w:val="Compact"/>
            </w:pPr>
            <w:r>
              <w:t xml:space="preserve">m6A destabilizes dsRNA structures, reducing MDA5 ligand availability</w:t>
            </w:r>
          </w:p>
        </w:tc>
        <w:tc>
          <w:tcPr/>
          <w:p>
            <w:pPr>
              <w:pStyle w:val="Compact"/>
            </w:pPr>
            <w:r>
              <w:t xml:space="preserve">Indirect (Chen 2019: m6A circRNAs avoid immune recognition)</w:t>
            </w:r>
          </w:p>
        </w:tc>
      </w:tr>
      <w:tr>
        <w:tc>
          <w:tcPr/>
          <w:p>
            <w:pPr>
              <w:pStyle w:val="Compact"/>
            </w:pPr>
            <w:r>
              <w:t xml:space="preserve">TLR7/8</w:t>
            </w:r>
          </w:p>
        </w:tc>
        <w:tc>
          <w:tcPr/>
          <w:p>
            <w:pPr>
              <w:pStyle w:val="Compact"/>
            </w:pPr>
            <w:r>
              <w:t xml:space="preserve">~30%</w:t>
            </w:r>
          </w:p>
        </w:tc>
        <w:tc>
          <w:tcPr/>
          <w:p>
            <w:pPr>
              <w:pStyle w:val="Compact"/>
            </w:pPr>
            <w:r>
              <w:t xml:space="preserve">Endosomal sensors less affected by internal modifications; m6A may alter RNA-protein interactions</w:t>
            </w:r>
          </w:p>
        </w:tc>
        <w:tc>
          <w:tcPr/>
          <w:p>
            <w:pPr>
              <w:pStyle w:val="Compact"/>
            </w:pPr>
            <w:r>
              <w:t xml:space="preserve">Estimated, no direct data</w:t>
            </w:r>
          </w:p>
        </w:tc>
      </w:tr>
      <w:tr>
        <w:tc>
          <w:tcPr/>
          <w:p>
            <w:pPr>
              <w:pStyle w:val="Compact"/>
            </w:pPr>
            <w:r>
              <w:t xml:space="preserve">PKR</w:t>
            </w:r>
          </w:p>
        </w:tc>
        <w:tc>
          <w:tcPr/>
          <w:p>
            <w:pPr>
              <w:pStyle w:val="Compact"/>
            </w:pPr>
            <w:r>
              <w:t xml:space="preserve">~20%</w:t>
            </w:r>
          </w:p>
        </w:tc>
        <w:tc>
          <w:tcPr/>
          <w:p>
            <w:pPr>
              <w:pStyle w:val="Compact"/>
            </w:pPr>
            <w:r>
              <w:t xml:space="preserve">PKR responds primarily to dsRNA length; m6A may modestly reduce effective duplex length</w:t>
            </w:r>
          </w:p>
        </w:tc>
        <w:tc>
          <w:tcPr/>
          <w:p>
            <w:pPr>
              <w:pStyle w:val="Compact"/>
            </w:pPr>
            <w:r>
              <w:t xml:space="preserve">Estimated, no direct data</w:t>
            </w:r>
          </w:p>
        </w:tc>
      </w:tr>
    </w:tbl>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require experimental validation. Sensitivity analysis (±50% variation on suppression values) changes immunogenicity rank order for 2/15 test sequences, indicating moderate robustness to these parameter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 (Yang et al., 2018),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 r=0.85 (N=50 circBase, Spearman), reflecting GC’s role in promoting dsRNA structure. Partial correlation controlling for GC: pathway scores retain r=0.42 with IFN-β (p=0.03, computed on N=50 circBase sequences with matched IFN-β measurements from literature). A simple GC-only baseline model achieves Spearman r=0.79 (N=50) with IFN-β; the pathway decomposition model achieves r=0.85 (ΔAIC = -8.2 relative to GC-only model), indicating pathway scoring provides statistically significant improvement over GC content alone (likelihood ratio test, p=0.004). The differential m6A suppression model contributes to this improvement: uniform m6A suppression reduces partial correlation to r=0.31 (p=0.08), suggesting pathway-resolved m6A modeling provides non-redundant information.</w:t>
      </w:r>
    </w:p>
    <w:bookmarkEnd w:id="23"/>
    <w:bookmarkStart w:id="24" w:name="X49f7d600705f29df9213b8eed453442c74dcacb"/>
    <w:p>
      <w:pPr>
        <w:pStyle w:val="Heading3"/>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SourceCode"/>
      </w:pPr>
      <w:r>
        <w:rPr>
          <w:rStyle w:val="VerbatimChar"/>
        </w:rPr>
        <w:t xml:space="preserve">R = 0.35 · efficacy + 0.30 · immune_score + 0.20 · safety + 0.15 · synergy</w:t>
      </w:r>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 ±0.10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 ~400 episodes in pilot runs (defined as &lt;2% reward change over 50 episodes). Across 5 random seeds, convergence episode ranges from 350-450, with final reward variance σ=0.03.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Bliss&gt;0 but CI&gt;2, the combination shows effect synergy but dose mismatch requiring optimization. This is particularly relevant for immunotherapy combinations where Bliss independence assumptions fail. L-BFGS-B dose optimization searches for optimal concentration ratios.</w:t>
      </w:r>
    </w:p>
    <w:p>
      <w:r>
        <w:pict>
          <v:rect style="width:0;height:1.5pt" o:hralign="center" o:hrstd="t" o:hr="t"/>
        </w:pict>
      </w:r>
    </w:p>
    <w:bookmarkEnd w:id="24"/>
    <w:bookmarkEnd w:id="25"/>
    <w:bookmarkStart w:id="31" w:name="results"/>
    <w:p>
      <w:pPr>
        <w:pStyle w:val="Heading2"/>
      </w:pPr>
      <w:r>
        <w:t xml:space="preserve">Results</w:t>
      </w:r>
    </w:p>
    <w:bookmarkStart w:id="26" w:name="tnbc-simulation"/>
    <w:p>
      <w:pPr>
        <w:pStyle w:val="Heading3"/>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6"/>
    <w:bookmarkStart w:id="27" w:name="pharmacokinetics"/>
    <w:p>
      <w:pPr>
        <w:pStyle w:val="Heading3"/>
      </w:pPr>
      <w:r>
        <w:t xml:space="preserve">Pharmacokinetics</w:t>
      </w:r>
    </w:p>
    <w:p>
      <w:pPr>
        <w:pStyle w:val="FirstParagraph"/>
      </w:pPr>
      <w:r>
        <w:t xml:space="preserve">Simulated half-lives match Wesselhoeft et al. (2018) experimental values with 12% relative error [CI 3-21%] (N=4 constructs). m6A modification extends half-life to ~15-22 h; Psi to ~20-30 h. The six-compartment model captures the endosomal escape bottleneck: only 2-4% of injected circRNA reaches the cytoplasm.</w:t>
      </w:r>
    </w:p>
    <w:p>
      <w:pPr>
        <w:pStyle w:val="BodyText"/>
      </w:pPr>
      <w:r>
        <w:rPr>
          <w:b/>
          <w:bCs/>
        </w:rPr>
        <w:t xml:space="preserve">Model comparison.</w:t>
      </w:r>
      <w:r>
        <w:t xml:space="preserve"> </w:t>
      </w:r>
      <w:r>
        <w:t xml:space="preserve">With N=4, statistical model comparison is underpowered. Six-compartment AIC = 18.2 vs. two-compartment AIC = 22.7 (ΔAIC = 4.5 favoring six-compartment), but this difference is not significant at N=4. A minimum of ~12 constructs would be needed to distinguish models at α=0.05, power=0.80.</w:t>
      </w:r>
    </w:p>
    <w:bookmarkEnd w:id="27"/>
    <w:bookmarkStart w:id="28" w:name="immunogenicity"/>
    <w:p>
      <w:pPr>
        <w:pStyle w:val="Heading3"/>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IFN-β). Leave-one-out analysis: median LOO r=0.87 [IQR 0.82-0.91, range 0.79-0.94]. Direction consistent but magnitude sensitive to individual points. With N=7, standard error of r ≈ 0.18, and statistical power to distinguish r=0.91 from r=0.50 at α=0.05 is approximately 0.35.</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w:t>
      </w:r>
    </w:p>
    <w:p>
      <w:pPr>
        <w:pStyle w:val="BodyText"/>
      </w:pPr>
      <w:r>
        <w:rPr>
          <w:b/>
          <w:bCs/>
        </w:rPr>
        <w:t xml:space="preserve">GC baseline comparison.</w:t>
      </w:r>
      <w:r>
        <w:t xml:space="preserve"> </w:t>
      </w:r>
      <w:r>
        <w:t xml:space="preserve">Simple GC-only model: r=0.79 (N=50 circBase); pathway decomposition model: r=0.85 (ΔAIC = -8.2, p=0.004). Pathway scoring provides statistically significant but modest improvement over GC content alone.</w:t>
      </w:r>
    </w:p>
    <w:bookmarkEnd w:id="28"/>
    <w:bookmarkStart w:id="29" w:name="subclonal-evolution"/>
    <w:p>
      <w:pPr>
        <w:pStyle w:val="Heading3"/>
      </w:pPr>
      <w:r>
        <w:t xml:space="preserve">Subclonal Evolution</w:t>
      </w:r>
    </w:p>
    <w:p>
      <w:pPr>
        <w:pStyle w:val="FirstParagraph"/>
      </w:pPr>
      <w:r>
        <w:t xml:space="preserve">Under chemotherapy (30 cycles), Shannon diversity increased from 0.4 to 1.2, with dominant clone frequency decreasing from 0.85 to 0.42. Drug-induced mutation rate increase (1% → 50%) produced 3-5 resistant subclones per simulation run, compared to 0-1 without treatment pressure.</w:t>
      </w:r>
    </w:p>
    <w:bookmarkEnd w:id="29"/>
    <w:bookmarkStart w:id="30" w:name="wet-lab-validation-pending"/>
    <w:p>
      <w:pPr>
        <w:pStyle w:val="Heading3"/>
      </w:pPr>
      <w:r>
        <w:t xml:space="preserve">Wet-Lab Validation (Pending)</w:t>
      </w:r>
    </w:p>
    <w:p>
      <w:pPr>
        <w:pStyle w:val="FirstParagraph"/>
      </w:pPr>
      <w:r>
        <w:t xml:space="preserve">Experimental validation is underway with collaborating medical school researchers. Planned experiments: (1) IFN-β ELISA for 15 evolved circRNA sequences in HEK293 cells, (2) circRNA half-life measurement via qRT-PCR in primary TNBC cell lines (MDA-MB-231, HCC1937), (3) subtype-specific tumor response in BLIS and IM PDX models (n=6 per group). Results will be reported in a follow-up publication.</w:t>
      </w:r>
    </w:p>
    <w:p>
      <w:r>
        <w:pict>
          <v:rect style="width:0;height:1.5pt" o:hralign="center" o:hrstd="t" o:hr="t"/>
        </w:pict>
      </w:r>
    </w:p>
    <w:bookmarkEnd w:id="30"/>
    <w:bookmarkEnd w:id="31"/>
    <w:bookmarkStart w:id="41" w:name="discussion"/>
    <w:p>
      <w:pPr>
        <w:pStyle w:val="Heading2"/>
      </w:pPr>
      <w:r>
        <w:t xml:space="preserve">Discussion</w:t>
      </w:r>
    </w:p>
    <w:bookmarkStart w:id="35" w:name="what-confluencia-3.0-contributes"/>
    <w:p>
      <w:pPr>
        <w:pStyle w:val="Heading3"/>
      </w:pPr>
      <w:r>
        <w:t xml:space="preserve">What Confluencia 3.0 Contributes</w:t>
      </w:r>
    </w:p>
    <w:p>
      <w:pPr>
        <w:pStyle w:val="FirstParagraph"/>
      </w:pPr>
      <w:r>
        <w:t xml:space="preserve">We organize contributions by evidence level to distinguish implemented features from validated capabilities:</w:t>
      </w:r>
    </w:p>
    <w:p>
      <w:pPr>
        <w:pStyle w:val="BodyText"/>
      </w:pPr>
      <w:r>
        <w:rPr>
          <w:b/>
          <w:bCs/>
        </w:rPr>
        <w:t xml:space="preserve">(A) Implemented features with preliminary correlation support:</w:t>
      </w:r>
    </w:p>
    <w:p>
      <w:pPr>
        <w:numPr>
          <w:ilvl w:val="0"/>
          <w:numId w:val="1003"/>
        </w:numPr>
      </w:pPr>
      <w:r>
        <w:rPr>
          <w:b/>
          <w:bCs/>
        </w:rPr>
        <w:t xml:space="preserve">circRNA-specific immune sensing via MDA5/dsRNA pathway.</w:t>
      </w:r>
      <w:r>
        <w:t xml:space="preserve"> </w:t>
      </w:r>
      <w:r>
        <w:t xml:space="preserve">The immunogenicity model correctly identifies that circRNA lacks 5’-ppp termini, making RIG-I sensing inapplicable, and instead models dsRNA backbone activation via MDA5. TLR7/TLR8 are scored separately with distinct motif preferences. Pathway decomposition provides statistically significant improvement over GC-only baseline (ΔAIC = -8.2, p=0.004, N=50).</w:t>
      </w:r>
    </w:p>
    <w:p>
      <w:pPr>
        <w:numPr>
          <w:ilvl w:val="0"/>
          <w:numId w:val="1003"/>
        </w:numPr>
      </w:pPr>
      <w:r>
        <w:rPr>
          <w:b/>
          <w:bCs/>
        </w:rPr>
        <w:t xml:space="preserve">Six-compartment circRNA PK.</w:t>
      </w:r>
      <w:r>
        <w:t xml:space="preserve"> </w:t>
      </w:r>
      <w:r>
        <w:t xml:space="preserve">Captures endosomal escape bottleneck (1-4% efficiency) that linear mRNA models omit. Preliminary accuracy: 12% error vs Wesselhoeft 2018 (N=4), but N=4 cannot statistically distinguish from simpler models.</w:t>
      </w:r>
    </w:p>
    <w:p>
      <w:pPr>
        <w:numPr>
          <w:ilvl w:val="0"/>
          <w:numId w:val="1003"/>
        </w:numPr>
      </w:pPr>
      <w:r>
        <w:rPr>
          <w:b/>
          <w:bCs/>
        </w:rPr>
        <w:t xml:space="preserve">Differential m6A suppression modeling.</w:t>
      </w:r>
      <w:r>
        <w:t xml:space="preserve"> </w:t>
      </w:r>
      <w:r>
        <w:t xml:space="preserve">Pathway-specific m6A suppression values (MDA5 ~90%, TLR ~30%, PKR ~20%) are estimated parameters that correct the oversimplified</w:t>
      </w:r>
      <w:r>
        <w:t xml:space="preserve"> </w:t>
      </w:r>
      <w:r>
        <w:t xml:space="preserve">“m6A reduces immunogenicity”</w:t>
      </w:r>
      <w:r>
        <w:t xml:space="preserve"> </w:t>
      </w:r>
      <w:r>
        <w:t xml:space="preserve">assumption. Uniform m6A suppression reduces partial correlation from r=0.42 to r=0.31, demonstrating non-redundant information. However, these values require experimental validation.</w:t>
      </w:r>
    </w:p>
    <w:p>
      <w:pPr>
        <w:pStyle w:val="FirstParagraph"/>
      </w:pPr>
      <w:r>
        <w:rPr>
          <w:b/>
          <w:bCs/>
        </w:rPr>
        <w:t xml:space="preserve">(B) Implemented features requiring validation:</w:t>
      </w:r>
    </w:p>
    <w:p>
      <w:pPr>
        <w:numPr>
          <w:ilvl w:val="0"/>
          <w:numId w:val="1004"/>
        </w:numPr>
      </w:pPr>
      <w:r>
        <w:rPr>
          <w:b/>
          <w:bCs/>
        </w:rPr>
        <w:t xml:space="preserve">Spatial TME simulation.</w:t>
      </w:r>
      <w:r>
        <w:t xml:space="preserve"> </w:t>
      </w:r>
      <w:r>
        <w:t xml:space="preserve">Nine immune cell populations, six cytokines, PD-1/PD-L1 checkpoint dynamics, and three spatial compartments. This is an implementation of Jiang 2019 subtype stratification with spatial extension, not a validated predictive system.</w:t>
      </w:r>
    </w:p>
    <w:p>
      <w:pPr>
        <w:numPr>
          <w:ilvl w:val="0"/>
          <w:numId w:val="1004"/>
        </w:numPr>
      </w:pPr>
      <w:r>
        <w:rPr>
          <w:b/>
          <w:bCs/>
        </w:rPr>
        <w:t xml:space="preserve">Subclonal evolution with drug-induced instability.</w:t>
      </w:r>
      <w:r>
        <w:t xml:space="preserve"> </w:t>
      </w:r>
      <w:r>
        <w:t xml:space="preserve">Tumor heterogeneity tracked via Shannon diversity with drug-induced mutation rate increase. Models the clinical reality of resistance emergence rather than assuming static tumor populations. No TCGA/METABRIC validation performed.</w:t>
      </w:r>
    </w:p>
    <w:p>
      <w:pPr>
        <w:numPr>
          <w:ilvl w:val="0"/>
          <w:numId w:val="1004"/>
        </w:numPr>
      </w:pPr>
      <w:r>
        <w:rPr>
          <w:b/>
          <w:bCs/>
        </w:rPr>
        <w:t xml:space="preserve">RL-ABM closed-loop optimization.</w:t>
      </w:r>
      <w:r>
        <w:t xml:space="preserve"> </w:t>
      </w:r>
      <w:r>
        <w:t xml:space="preserve">circRNA sequence optimization with ABM-computed reward. Reward weights are heuristic; Pareto front moderately robust to weight variation. Optimizer converges on simulator reward surface, not validated biological optima.</w:t>
      </w:r>
    </w:p>
    <w:p>
      <w:pPr>
        <w:numPr>
          <w:ilvl w:val="0"/>
          <w:numId w:val="1004"/>
        </w:numPr>
      </w:pPr>
      <w:r>
        <w:rPr>
          <w:b/>
          <w:bCs/>
        </w:rPr>
        <w:t xml:space="preserve">Bio-mimetic drug architecture.</w:t>
      </w:r>
      <w:r>
        <w:t xml:space="preserve"> </w:t>
      </w:r>
      <w:r>
        <w:t xml:space="preserve">Four brain-inspired components enable patient-specific ADMET modulation and clinical feedback integration. Tissue-specific attention weights are rule-based, not learned; neuroplastic closed-loop requires clinical feedback data not yet available.</w:t>
      </w:r>
    </w:p>
    <w:p>
      <w:pPr>
        <w:pStyle w:val="CaptionedFigure"/>
      </w:pPr>
      <w:r>
        <w:drawing>
          <wp:inline>
            <wp:extent cx="5334000" cy="5501783"/>
            <wp:effectExtent b="0" l="0" r="0" t="0"/>
            <wp:docPr descr="TorusFold architecture for circRNA 3D structure prediction. (A) Torus Positional Encoding (TPE) on S¹ topology with guaranteed periodicity. (B) Circular distance metric accounting for BSJ continuity. (C) CircPairformer rotation-equivariant pair representation. (D) Verified mathematical properties: TPE periodicity |TPE(i) - TPE(i+L)| &lt; 10⁻⁶, rotation equivariance confirmed." title="" id="33" name="Picture"/>
            <a:graphic>
              <a:graphicData uri="http://schemas.openxmlformats.org/drawingml/2006/picture">
                <pic:pic>
                  <pic:nvPicPr>
                    <pic:cNvPr descr="figures/fig6_torusfold_architecture.png" id="34" name="Picture"/>
                    <pic:cNvPicPr>
                      <a:picLocks noChangeArrowheads="1" noChangeAspect="1"/>
                    </pic:cNvPicPr>
                  </pic:nvPicPr>
                  <pic:blipFill>
                    <a:blip r:embed="rId32"/>
                    <a:stretch>
                      <a:fillRect/>
                    </a:stretch>
                  </pic:blipFill>
                  <pic:spPr bwMode="auto">
                    <a:xfrm>
                      <a:off x="0" y="0"/>
                      <a:ext cx="5334000" cy="5501783"/>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 S¹ topology with guaranteed periodicity. (B) Circular distance metric accounting for BSJ continuity. (C) CircPairformer rotation-equivariant pair representation. (D) Verified mathematical properties: TPE periodicity |TPE(i) - TPE(i+L)| &lt; 10⁻⁶, rotation equivariance confirmed.</w:t>
      </w:r>
    </w:p>
    <w:p>
      <w:pPr>
        <w:pStyle w:val="Compact"/>
        <w:numPr>
          <w:ilvl w:val="0"/>
          <w:numId w:val="1005"/>
        </w:numPr>
      </w:pPr>
      <w:r>
        <w:rPr>
          <w:b/>
          <w:bCs/>
        </w:rPr>
        <w:t xml:space="preserve">Bidirectional m6A modeling.</w:t>
      </w:r>
      <w:r>
        <w:t xml:space="preserve"> </w:t>
      </w:r>
      <w:r>
        <w:t xml:space="preserve">Models m6A’s dual role (evasion via dsRNA destabilization vs. enhancement via translation upregulation), reflecting context-dependent function. The enhancement component is hypothetical and requires experimental validation.</w:t>
      </w:r>
    </w:p>
    <w:p>
      <w:pPr>
        <w:pStyle w:val="FirstParagraph"/>
      </w:pPr>
      <w:r>
        <w:rPr>
          <w:b/>
          <w:bCs/>
        </w:rPr>
        <w:t xml:space="preserve">(C) Verified mathematical properties (biological utility unverified):</w:t>
      </w:r>
    </w:p>
    <w:p>
      <w:pPr>
        <w:pStyle w:val="Compact"/>
        <w:numPr>
          <w:ilvl w:val="0"/>
          <w:numId w:val="1006"/>
        </w:numPr>
      </w:pPr>
      <w:r>
        <w:rPr>
          <w:b/>
          <w:bCs/>
        </w:rPr>
        <w:t xml:space="preserve">TorusFold architecture.</w:t>
      </w:r>
      <w:r>
        <w:t xml:space="preserve"> </w:t>
      </w:r>
      <w:r>
        <w:t xml:space="preserve">Mathematical formulation for circRNA’s S¹ topology: TPE periodicity (verified: |TPE(i) - TPE(i+L)| &lt; 10^{-6}), circular distance metric, and rotation equivariance (verified). These are design properties of the architecture, not contributions requiring biological validation. The pair prediction head is non-functional (~0% predictions). Possible causes include insufficient training (1 epoch), additive pair initialization (vs AlphaFold2’s outer product), or fundamental architectural limitation. Without circRNA 3D structure training data, we cannot distinguish implementation bug from architectural flaw. A physics-based structure head provides zero-training 3D prediction via constraint solving as a fallback when no training data is available.</w:t>
      </w:r>
    </w:p>
    <w:p>
      <w:pPr>
        <w:pStyle w:val="FirstParagraph"/>
      </w:pPr>
      <w:r>
        <w:rPr>
          <w:b/>
          <w:bCs/>
        </w:rPr>
        <w:t xml:space="preserve">(D) Software and community infrastructure:</w:t>
      </w:r>
    </w:p>
    <w:p>
      <w:pPr>
        <w:numPr>
          <w:ilvl w:val="0"/>
          <w:numId w:val="1007"/>
        </w:numPr>
      </w:pPr>
      <w:r>
        <w:rPr>
          <w:b/>
          <w:bCs/>
        </w:rPr>
        <w:t xml:space="preserve">Integrated event-driven framework with algorithmic extensibility.</w:t>
      </w:r>
      <w:r>
        <w:t xml:space="preserve"> </w:t>
      </w:r>
      <w:r>
        <w:t xml:space="preserve">EventBus with 18+ event types couples eight subsystems, enabling modular extension. New algorithms can replace existing implementations by subscribing to the same events, ensuring the platform remains current as methods evolve rather than becoming obsolete when individual algorithms are superseded.</w:t>
      </w:r>
    </w:p>
    <w:p>
      <w:pPr>
        <w:numPr>
          <w:ilvl w:val="0"/>
          <w:numId w:val="1007"/>
        </w:numPr>
      </w:pPr>
      <w:r>
        <w:rPr>
          <w:b/>
          <w:bCs/>
        </w:rPr>
        <w:t xml:space="preserve">Accessibility design.</w:t>
      </w:r>
      <w:r>
        <w:t xml:space="preserve"> </w:t>
      </w:r>
      <w:r>
        <w:t xml:space="preserve">Five interfaces (Python API, Streamlit web, CLI, R package, PyQt6 desktop IDE with natural-language query) target diverse user communities from molecular biologists to software developers.</w:t>
      </w:r>
    </w:p>
    <w:p>
      <w:pPr>
        <w:numPr>
          <w:ilvl w:val="0"/>
          <w:numId w:val="1007"/>
        </w:numPr>
      </w:pPr>
      <w:r>
        <w:rPr>
          <w:b/>
          <w:bCs/>
        </w:rPr>
        <w:t xml:space="preserve">Federated data sharing.</w:t>
      </w:r>
      <w:r>
        <w:t xml:space="preserve"> </w:t>
      </w:r>
      <w:r>
        <w:t xml:space="preserve">Confluencia Hub with ethics-gated uploads, data source declaration, dual-use screening, and SHA256 hash verification.</w:t>
      </w:r>
    </w:p>
    <w:bookmarkEnd w:id="35"/>
    <w:bookmarkStart w:id="36" w:name="integration-ecosystem"/>
    <w:p>
      <w:pPr>
        <w:pStyle w:val="Heading3"/>
      </w:pPr>
      <w:r>
        <w:t xml:space="preserve">Integration Ecosystem</w:t>
      </w:r>
    </w:p>
    <w:p>
      <w:pPr>
        <w:pStyle w:val="FirstParagraph"/>
      </w:pPr>
      <w:r>
        <w:t xml:space="preserve">The EventBus architecture enables integration beyond the core four modules. The platform defaults to established external tools via lazy-loading bridges: (1) structure prediction uses ViennaRNA (thermodynamic) with TorusFold as theoretical extension; (2) PK simulation uses literature-derived compartment models but can swap to PK-Sim or physiologically-based PK via EventBus subscription; (3) MHC binding uses NetMHCpan (AUC ~0.90) for standalone screening, with Confluencia 2.0’s epitope module (AUC=0.80) available when integration with circRNA PK simulation is required. The integrated epitope module supports joint vaccine efficacy prediction via environment variables (dose, frequency, circRNA expression, IFN score) and gradient-based sensitivity analysis for wet-lab optimization, capabilities not available in standalone tools. Confluencia’s custom modules serve integration needs rather than competing with established benchmarks. New methods (e.g., future circRNA-specific structure predictors) can replace existing implementations by subscribing to the same events without modifying other subsystems.</w:t>
      </w:r>
    </w:p>
    <w:bookmarkEnd w:id="36"/>
    <w:bookmarkStart w:id="37" w:name="what-remains-unvalidated"/>
    <w:p>
      <w:pPr>
        <w:pStyle w:val="Heading3"/>
      </w:pPr>
      <w:r>
        <w:t xml:space="preserve">What Remains Unvalidated</w:t>
      </w:r>
    </w:p>
    <w:p>
      <w:pPr>
        <w:numPr>
          <w:ilvl w:val="0"/>
          <w:numId w:val="1008"/>
        </w:numPr>
      </w:pPr>
      <w:r>
        <w:rPr>
          <w:b/>
          <w:bCs/>
        </w:rPr>
        <w:t xml:space="preserve">TNBC simulation.</w:t>
      </w:r>
      <w:r>
        <w:t xml:space="preserve"> </w:t>
      </w:r>
      <w:r>
        <w:t xml:space="preserve">No TCGA/METABRIC validation performed. Parameter-swap experiment confirms circular dependency: outcomes determined by input parameters.</w:t>
      </w:r>
    </w:p>
    <w:p>
      <w:pPr>
        <w:numPr>
          <w:ilvl w:val="0"/>
          <w:numId w:val="1008"/>
        </w:numPr>
      </w:pPr>
      <w:r>
        <w:rPr>
          <w:b/>
          <w:bCs/>
        </w:rPr>
        <w:t xml:space="preserve">Immunogenicity weights.</w:t>
      </w:r>
      <w:r>
        <w:t xml:space="preserve"> </w:t>
      </w:r>
      <w:r>
        <w:t xml:space="preserve">Literature-derived, not empirically calibrated. 20% rank inversion under weight perturbation. N=7 primary benchmark provides statistical power ≈0.35.</w:t>
      </w:r>
    </w:p>
    <w:p>
      <w:pPr>
        <w:numPr>
          <w:ilvl w:val="0"/>
          <w:numId w:val="1008"/>
        </w:numPr>
      </w:pPr>
      <w:r>
        <w:rPr>
          <w:b/>
          <w:bCs/>
        </w:rPr>
        <w:t xml:space="preserve">TorusFold.</w:t>
      </w:r>
      <w:r>
        <w:t xml:space="preserve"> </w:t>
      </w:r>
      <w:r>
        <w:t xml:space="preserve">Non-functional pair head. Validation awaits circRNA 3D structure data.</w:t>
      </w:r>
    </w:p>
    <w:p>
      <w:pPr>
        <w:numPr>
          <w:ilvl w:val="0"/>
          <w:numId w:val="1008"/>
        </w:numPr>
      </w:pPr>
      <w:r>
        <w:rPr>
          <w:b/>
          <w:bCs/>
        </w:rPr>
        <w:t xml:space="preserve">RL-ABM reward.</w:t>
      </w:r>
      <w:r>
        <w:t xml:space="preserve"> </w:t>
      </w:r>
      <w:r>
        <w:t xml:space="preserve">Optimizer converges on simulator reward surface, not validated biological optima.</w:t>
      </w:r>
    </w:p>
    <w:bookmarkEnd w:id="37"/>
    <w:bookmarkStart w:id="38" w:name="the-circrna-data-challenge"/>
    <w:p>
      <w:pPr>
        <w:pStyle w:val="Heading3"/>
      </w:pPr>
      <w:r>
        <w:t xml:space="preserve">The circRNA Data Challenge</w:t>
      </w:r>
    </w:p>
    <w:p>
      <w:pPr>
        <w:pStyle w:val="FirstParagraph"/>
      </w:pPr>
      <w:r>
        <w:t xml:space="preserve">No circRNA crystal structures or cryo-EM reconstructions exist in PDB. Fewer than two dozen circRNA structural annotations are available from literature. This is the fundamental barrier for TorusFold validation: one cannot validate a structure predictor without structures, a circular problem that even our circular architecture cannot solve. We propose circRNA-CASP as a community mechanism, analogous to CASP’s role in protein structure prediction. Until circRNA structure data becomes available, TorusFold remains a theoretical proposal with verified mathematical properties but unverified biological utility.</w:t>
      </w:r>
    </w:p>
    <w:bookmarkEnd w:id="38"/>
    <w:bookmarkStart w:id="39" w:name="power-analysis"/>
    <w:p>
      <w:pPr>
        <w:pStyle w:val="Heading3"/>
      </w:pPr>
      <w:r>
        <w:t xml:space="preserve">Power Analysis</w:t>
      </w:r>
    </w:p>
    <w:p>
      <w:pPr>
        <w:pStyle w:val="FirstParagraph"/>
      </w:pPr>
      <w:r>
        <w:t xml:space="preserve">Current sample sizes are insufficient for definitive validation. Required sample sizes for key benchmarks:</w:t>
      </w:r>
    </w:p>
    <w:tbl>
      <w:tblPr>
        <w:tblStyle w:val="Table"/>
        <w:tblW w:type="pct" w:w="5000"/>
        <w:tblLayout w:type="fixed"/>
        <w:tblLook w:firstRow="1" w:lastRow="0" w:firstColumn="0" w:lastColumn="0" w:noHBand="0" w:noVBand="0" w:val="0020"/>
      </w:tblPr>
      <w:tblGrid>
        <w:gridCol w:w="728"/>
        <w:gridCol w:w="1001"/>
        <w:gridCol w:w="2822"/>
        <w:gridCol w:w="1365"/>
        <w:gridCol w:w="2002"/>
      </w:tblGrid>
      <w:tr>
        <w:trPr>
          <w:tblHeader w:val="on"/>
        </w:trPr>
        <w:tc>
          <w:tcPr/>
          <w:p>
            <w:pPr>
              <w:pStyle w:val="Compact"/>
            </w:pPr>
            <w:r>
              <w:t xml:space="preserve">Module</w:t>
            </w:r>
          </w:p>
        </w:tc>
        <w:tc>
          <w:tcPr/>
          <w:p>
            <w:pPr>
              <w:pStyle w:val="Compact"/>
            </w:pPr>
            <w:r>
              <w:t xml:space="preserve">Current N</w:t>
            </w:r>
          </w:p>
        </w:tc>
        <w:tc>
          <w:tcPr/>
          <w:p>
            <w:pPr>
              <w:pStyle w:val="Compact"/>
            </w:pPr>
            <w:r>
              <w:t xml:space="preserve">Required N (α=0.05, power=0.80)</w:t>
            </w:r>
          </w:p>
        </w:tc>
        <w:tc>
          <w:tcPr/>
          <w:p>
            <w:pPr>
              <w:pStyle w:val="Compact"/>
            </w:pPr>
            <w:r>
              <w:t xml:space="preserve">Current Power</w:t>
            </w:r>
          </w:p>
        </w:tc>
        <w:tc>
          <w:tcPr/>
          <w:p>
            <w:pPr>
              <w:pStyle w:val="Compact"/>
            </w:pPr>
            <w:r>
              <w:t xml:space="preserve">Effect Size Assumption</w:t>
            </w:r>
          </w:p>
        </w:tc>
      </w:tr>
      <w:tr>
        <w:tc>
          <w:tcPr/>
          <w:p>
            <w:pPr>
              <w:pStyle w:val="Compact"/>
            </w:pPr>
            <w:r>
              <w:t xml:space="preserve">Immunogenicity (r=0.91 vs r=0.50)</w:t>
            </w:r>
          </w:p>
        </w:tc>
        <w:tc>
          <w:tcPr/>
          <w:p>
            <w:pPr>
              <w:pStyle w:val="Compact"/>
            </w:pPr>
            <w:r>
              <w:t xml:space="preserve">7</w:t>
            </w:r>
          </w:p>
        </w:tc>
        <w:tc>
          <w:tcPr/>
          <w:p>
            <w:pPr>
              <w:pStyle w:val="Compact"/>
            </w:pPr>
            <w:r>
              <w:t xml:space="preserve">~25</w:t>
            </w:r>
          </w:p>
        </w:tc>
        <w:tc>
          <w:tcPr/>
          <w:p>
            <w:pPr>
              <w:pStyle w:val="Compact"/>
            </w:pPr>
            <w:r>
              <w:t xml:space="preserve">~0.35</w:t>
            </w:r>
          </w:p>
        </w:tc>
        <w:tc>
          <w:tcPr/>
          <w:p>
            <w:pPr>
              <w:pStyle w:val="Compact"/>
            </w:pPr>
            <w:r>
              <w:t xml:space="preserve">Large (Cohen q=0.85)</w:t>
            </w:r>
          </w:p>
        </w:tc>
      </w:tr>
      <w:tr>
        <w:tc>
          <w:tcPr/>
          <w:p>
            <w:pPr>
              <w:pStyle w:val="Compact"/>
            </w:pPr>
            <w:r>
              <w:t xml:space="preserve">PK (6-comp vs 2-comp)</w:t>
            </w:r>
          </w:p>
        </w:tc>
        <w:tc>
          <w:tcPr/>
          <w:p>
            <w:pPr>
              <w:pStyle w:val="Compact"/>
            </w:pPr>
            <w:r>
              <w:t xml:space="preserve">4</w:t>
            </w:r>
          </w:p>
        </w:tc>
        <w:tc>
          <w:tcPr/>
          <w:p>
            <w:pPr>
              <w:pStyle w:val="Compact"/>
            </w:pPr>
            <w:r>
              <w:t xml:space="preserve">~12</w:t>
            </w:r>
          </w:p>
        </w:tc>
        <w:tc>
          <w:tcPr/>
          <w:p>
            <w:pPr>
              <w:pStyle w:val="Compact"/>
            </w:pPr>
            <w:r>
              <w:t xml:space="preserve">~0.20</w:t>
            </w:r>
          </w:p>
        </w:tc>
        <w:tc>
          <w:tcPr/>
          <w:p>
            <w:pPr>
              <w:pStyle w:val="Compact"/>
            </w:pPr>
            <w:r>
              <w:t xml:space="preserve">ΔAIC=4.5 (medium)</w:t>
            </w:r>
          </w:p>
        </w:tc>
      </w:tr>
    </w:tbl>
    <w:bookmarkEnd w:id="39"/>
    <w:bookmarkStart w:id="40" w:name="the-federated-sharing-response"/>
    <w:p>
      <w:pPr>
        <w:pStyle w:val="Heading3"/>
      </w:pPr>
      <w:r>
        <w:t xml:space="preserve">The Federated Sharing Response</w:t>
      </w:r>
    </w:p>
    <w:p>
      <w:pPr>
        <w:pStyle w:val="FirstParagraph"/>
      </w:pPr>
      <w:r>
        <w:t xml:space="preserve">The small-sample problem (N=42 drug, N=7 immunogenicity) is endemic to circRNA work. Confluencia Hub enables federated model sharing: labs upload trained weights (not raw data), enabling community aggregation.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p>
      <w:r>
        <w:pict>
          <v:rect style="width:0;height:1.5pt" o:hralign="center" o:hrstd="t" o:hr="t"/>
        </w:pict>
      </w:r>
    </w:p>
    <w:bookmarkEnd w:id="40"/>
    <w:bookmarkEnd w:id="41"/>
    <w:bookmarkStart w:id="42" w:name="limitations"/>
    <w:p>
      <w:pPr>
        <w:pStyle w:val="Heading2"/>
      </w:pPr>
      <w:r>
        <w:t xml:space="preserve">Limitations</w:t>
      </w:r>
    </w:p>
    <w:p>
      <w:pPr>
        <w:pStyle w:val="FirstParagraph"/>
      </w:pPr>
      <w:r>
        <w:rPr>
          <w:b/>
          <w:bCs/>
        </w:rPr>
        <w:t xml:space="preserve">TNBC.</w:t>
      </w:r>
      <w:r>
        <w:t xml:space="preserve"> </w:t>
      </w:r>
      <w:r>
        <w:t xml:space="preserve">ODE dynamics without stochastic effects; no TCGA/METABRIC validation; parameter-swap experiment confirms circular dependency; spatial TME model assumes fixed compartment boundaries; Shannon diversity discretizes continuous heterogeneity.</w:t>
      </w:r>
    </w:p>
    <w:p>
      <w:pPr>
        <w:pStyle w:val="BodyText"/>
      </w:pPr>
      <w:r>
        <w:rPr>
          <w:b/>
          <w:bCs/>
        </w:rPr>
        <w:t xml:space="preserve">Immunogenicity.</w:t>
      </w:r>
      <w:r>
        <w:t xml:space="preserve"> </w:t>
      </w:r>
      <w:r>
        <w:t xml:space="preserve">Pathway weights uncalibrated; 20% rank inversion under weight variation; N=7 primary benchmark fragile (power ≈0.35); N=15 HEK293 CI too wide to claim validation (width 0.62); GC confound partially resolved (partial r=0.42); m6A suppression values (90%/30%/20%) are estimated, not measured—sensitivity analysis shows 2/15 rank changes under ±50% variation; TLR circularity correction factor (0.70) is heuristic; bidirectional m6A enhancement_weight is hypothetical; model assumes highly purified circRNA and does not account for production method effects (intron retention, purification method) that Chen 2019 showed are critical.</w:t>
      </w:r>
    </w:p>
    <w:p>
      <w:pPr>
        <w:pStyle w:val="BodyText"/>
      </w:pPr>
      <w:r>
        <w:rPr>
          <w:b/>
          <w:bCs/>
        </w:rPr>
        <w:t xml:space="preserve">PK.</w:t>
      </w:r>
      <w:r>
        <w:t xml:space="preserve"> </w:t>
      </w:r>
      <w:r>
        <w:t xml:space="preserve">Literature priors only, not fitted to time-course data; N=4 validation cannot distinguish six-compartment from simpler models (ΔAIC=4.5 not significant at N=4); no patient-specific PK; k_ec derivation from stochastic efficiency to first-order kinetics is approximate; modification effect on k_cd is a linear multiplier.</w:t>
      </w:r>
    </w:p>
    <w:p>
      <w:pPr>
        <w:pStyle w:val="BodyText"/>
      </w:pPr>
      <w:r>
        <w:rPr>
          <w:b/>
          <w:bCs/>
        </w:rPr>
        <w:t xml:space="preserve">TorusFold.</w:t>
      </w:r>
      <w:r>
        <w:t xml:space="preserve"> </w:t>
      </w:r>
      <w:r>
        <w:t xml:space="preserve">Non-functional pair head (~0% predictions); no circRNA 3D structure training data (the field awaits someone to first solve this chicken-or-egg problem); cannot distinguish bug from architectural flaw; additive pair initialization may contribute to failure; H=16 harmonics choice is unvalidated.</w:t>
      </w:r>
    </w:p>
    <w:p>
      <w:pPr>
        <w:pStyle w:val="BodyText"/>
      </w:pPr>
      <w:r>
        <w:rPr>
          <w:b/>
          <w:bCs/>
        </w:rPr>
        <w:t xml:space="preserve">Evolution.</w:t>
      </w:r>
      <w:r>
        <w:t xml:space="preserve"> </w:t>
      </w:r>
      <w:r>
        <w:t xml:space="preserve">REINFORCE optimizes heuristic landscape, not validated biological optima; 500 episodes with convergence at 350-450 across seeds; reward weights (0.35/0.30/0.20/0.15) are heuristic; Bliss-CI discrepancy matrix is descriptive, not prescriptive.</w:t>
      </w:r>
    </w:p>
    <w:p>
      <w:pPr>
        <w:pStyle w:val="BodyText"/>
      </w:pPr>
      <w:r>
        <w:rPr>
          <w:b/>
          <w:bCs/>
        </w:rPr>
        <w:t xml:space="preserve">All claims are hypothesis-generation.</w:t>
      </w:r>
      <w:r>
        <w:t xml:space="preserve"> </w:t>
      </w:r>
      <w:r>
        <w:t xml:space="preserve">Simulated outcomes validate internal consistency, not external predictions. Wet-lab validation ongoing with collaborating medical school.</w:t>
      </w:r>
    </w:p>
    <w:p>
      <w:r>
        <w:pict>
          <v:rect style="width:0;height:1.5pt" o:hralign="center" o:hrstd="t" o:hr="t"/>
        </w:pict>
      </w:r>
    </w:p>
    <w:bookmarkEnd w:id="42"/>
    <w:bookmarkStart w:id="43" w:name="data-availability-statement"/>
    <w:p>
      <w:pPr>
        <w:pStyle w:val="Heading2"/>
      </w:pPr>
      <w:r>
        <w:t xml:space="preserve">Data Availability Statement</w:t>
      </w:r>
    </w:p>
    <w:p>
      <w:pPr>
        <w:pStyle w:val="FirstParagraph"/>
      </w:pPr>
      <w:r>
        <w:t xml:space="preserve">TNBC subtype parameters derived from Jiang et al. (2019) Supplementary Table S2 (publicly available). Pharmacokinetic validation uses Wesselhoeft et al. (2018) published half-life data. Immunogenicity validation uses Chen et al. (2019) published IFN-β measurements. circRNA 3D structure data: not available (no public database exists).</w:t>
      </w:r>
    </w:p>
    <w:p>
      <w:pPr>
        <w:pStyle w:val="BodyText"/>
      </w:pPr>
      <w:r>
        <w:rPr>
          <w:b/>
          <w:bCs/>
        </w:rPr>
        <w:t xml:space="preserve">Wet-lab validation (in progress).</w:t>
      </w:r>
      <w:r>
        <w:t xml:space="preserve"> </w:t>
      </w:r>
      <w:r>
        <w:t xml:space="preserve">We are collaborating with medical school researchers to generate experimental data: (1) IFN-β 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p>
      <w:r>
        <w:pict>
          <v:rect style="width:0;height:1.5pt" o:hralign="center" o:hrstd="t" o:hr="t"/>
        </w:pict>
      </w:r>
    </w:p>
    <w:bookmarkEnd w:id="43"/>
    <w:bookmarkStart w:id="44" w:name="code-availability"/>
    <w:p>
      <w:pPr>
        <w:pStyle w:val="Heading2"/>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r>
        <w:t xml:space="preserve"> </w:t>
      </w:r>
      <w:r>
        <w:t xml:space="preserve">-</w:t>
      </w:r>
      <w:r>
        <w:t xml:space="preserve"> </w:t>
      </w:r>
      <w:r>
        <w:rPr>
          <w:b/>
          <w:bCs/>
        </w:rPr>
        <w:t xml:space="preserve">Python API:</w:t>
      </w:r>
      <w:r>
        <w:t xml:space="preserve"> </w:t>
      </w:r>
      <w:r>
        <w:rPr>
          <w:rStyle w:val="VerbatimChar"/>
        </w:rPr>
        <w:t xml:space="preserve">import confluencia_3_0; confluencia_3_0.simulate(config)</w:t>
      </w:r>
      <w:r>
        <w:t xml:space="preserve"> </w:t>
      </w:r>
      <w:r>
        <w:t xml:space="preserve">-</w:t>
      </w:r>
      <w:r>
        <w:t xml:space="preserve"> </w:t>
      </w:r>
      <w:r>
        <w:rPr>
          <w:b/>
          <w:bCs/>
        </w:rPr>
        <w:t xml:space="preserve">Streamlit web UI:</w:t>
      </w:r>
      <w:r>
        <w:t xml:space="preserve"> </w:t>
      </w:r>
      <w:r>
        <w:rPr>
          <w:rStyle w:val="VerbatimChar"/>
        </w:rPr>
        <w:t xml:space="preserve">streamlit run confluencia-studio/streamlit_app/Home.py</w:t>
      </w:r>
      <w:r>
        <w:t xml:space="preserve"> </w:t>
      </w:r>
      <w:r>
        <w:t xml:space="preserve">(6 pages: CircRNA Analysis, Drug Prediction, Epitope Screening, TNBC Simulator, Joint Analysis, Report Export)</w:t>
      </w:r>
      <w:r>
        <w:t xml:space="preserve"> </w:t>
      </w:r>
      <w:r>
        <w:t xml:space="preserve">-</w:t>
      </w:r>
      <w:r>
        <w:t xml:space="preserve"> </w:t>
      </w:r>
      <w:r>
        <w:rPr>
          <w:b/>
          <w:bCs/>
        </w:rPr>
        <w:t xml:space="preserve">CLI:</w:t>
      </w:r>
      <w:r>
        <w:t xml:space="preserve"> </w:t>
      </w:r>
      <w:r>
        <w:rPr>
          <w:rStyle w:val="VerbatimChar"/>
        </w:rPr>
        <w:t xml:space="preserve">confluencia simulate --subtype IM --steps 100</w:t>
      </w:r>
      <w:r>
        <w:t xml:space="preserve"> </w:t>
      </w:r>
      <w:r>
        <w:t xml:space="preserve">-</w:t>
      </w:r>
      <w:r>
        <w:t xml:space="preserve"> </w:t>
      </w: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r>
        <w:t xml:space="preserve"> </w:t>
      </w:r>
      <w:r>
        <w:t xml:space="preserve">-</w:t>
      </w:r>
      <w:r>
        <w:t xml:space="preserve"> </w:t>
      </w: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BodyText"/>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p>
      <w:r>
        <w:pict>
          <v:rect style="width:0;height:1.5pt" o:hralign="center" o:hrstd="t" o:hr="t"/>
        </w:pict>
      </w:r>
    </w:p>
    <w:bookmarkEnd w:id="44"/>
    <w:bookmarkStart w:id="45" w:name="acknowledgments"/>
    <w:p>
      <w:pPr>
        <w:pStyle w:val="Heading2"/>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r>
        <w:pict>
          <v:rect style="width:0;height:1.5pt" o:hralign="center" o:hrstd="t" o:hr="t"/>
        </w:pict>
      </w:r>
    </w:p>
    <w:bookmarkEnd w:id="45"/>
    <w:bookmarkStart w:id="46" w:name="references"/>
    <w:p>
      <w:pPr>
        <w:pStyle w:val="Heading2"/>
      </w:pPr>
      <w:r>
        <w:t xml:space="preserve">References</w:t>
      </w:r>
    </w:p>
    <w:p>
      <w:pPr>
        <w:numPr>
          <w:ilvl w:val="0"/>
          <w:numId w:val="1009"/>
        </w:numPr>
      </w:pPr>
      <w:r>
        <w:t xml:space="preserve">Wesselhoeft RA, et al. RNA circularization diminishes immunogenicity and can extend translation duration in vivo. Nat Commun. 2018;9:2629.</w:t>
      </w:r>
    </w:p>
    <w:p>
      <w:pPr>
        <w:numPr>
          <w:ilvl w:val="0"/>
          <w:numId w:val="1009"/>
        </w:numPr>
      </w:pPr>
      <w:r>
        <w:t xml:space="preserve">Jiang YZ, et al. Genomic and Transcriptomic Landscape of Triple-Negative Breast Cancer. Cancer Cell. 2019;35:428.</w:t>
      </w:r>
    </w:p>
    <w:p>
      <w:pPr>
        <w:numPr>
          <w:ilvl w:val="0"/>
          <w:numId w:val="1009"/>
        </w:numPr>
      </w:pPr>
      <w:r>
        <w:t xml:space="preserve">Chen YG, et al. Sensing Self and Foreign Circular RNAs by Intron Identity. Mol Cell. 2019;73:422.</w:t>
      </w:r>
    </w:p>
    <w:p>
      <w:pPr>
        <w:numPr>
          <w:ilvl w:val="0"/>
          <w:numId w:val="1009"/>
        </w:numPr>
      </w:pPr>
      <w:r>
        <w:t xml:space="preserve">Gilleron J, et al. Image-based analysis of lipid nanoparticle-mediated siRNA delivery, intracellular trafficking and endosomal escape. Nat Biotechnol. 2013;31:638.</w:t>
      </w:r>
    </w:p>
    <w:p>
      <w:pPr>
        <w:numPr>
          <w:ilvl w:val="0"/>
          <w:numId w:val="1009"/>
        </w:numPr>
      </w:pPr>
      <w:r>
        <w:t xml:space="preserve">Hou X, et al. Lipid nanoparticles for mRNA delivery. Nat Rev Mater. 2021;6:1078.</w:t>
      </w:r>
    </w:p>
    <w:p>
      <w:pPr>
        <w:numPr>
          <w:ilvl w:val="0"/>
          <w:numId w:val="1009"/>
        </w:numPr>
      </w:pPr>
      <w:r>
        <w:t xml:space="preserve">Paunovska K, et al. Quantification of nanoprotein distribution at the single-cell level. ACS Nano. 2018;12:7580.</w:t>
      </w:r>
    </w:p>
    <w:p>
      <w:pPr>
        <w:numPr>
          <w:ilvl w:val="0"/>
          <w:numId w:val="1009"/>
        </w:numPr>
      </w:pPr>
      <w:r>
        <w:t xml:space="preserve">Nallagatla SR, et al. 5’-terminal oligonucleotide determines RNA duplex structure and PKR activation efficiency. Science. 2007;318:1455.</w:t>
      </w:r>
    </w:p>
    <w:p>
      <w:pPr>
        <w:numPr>
          <w:ilvl w:val="0"/>
          <w:numId w:val="1009"/>
        </w:numPr>
      </w:pPr>
      <w:r>
        <w:t xml:space="preserve">Jumper J, et al. Highly accurate protein structure prediction with AlphaFold. Nature. 2021;596:583.</w:t>
      </w:r>
    </w:p>
    <w:p>
      <w:pPr>
        <w:numPr>
          <w:ilvl w:val="0"/>
          <w:numId w:val="1009"/>
        </w:numPr>
      </w:pPr>
      <w:r>
        <w:t xml:space="preserve">Vaswani A, et al. Attention is all you need. NeurIPS. 2017.</w:t>
      </w:r>
    </w:p>
    <w:p>
      <w:pPr>
        <w:numPr>
          <w:ilvl w:val="0"/>
          <w:numId w:val="1009"/>
        </w:numPr>
      </w:pPr>
      <w:r>
        <w:t xml:space="preserve">Lorenz R, et al. ViennaRNA Package 2.0. Algorithms Mol Biol. 2011;6:26.</w:t>
      </w:r>
    </w:p>
    <w:p>
      <w:pPr>
        <w:numPr>
          <w:ilvl w:val="0"/>
          <w:numId w:val="1009"/>
        </w:numPr>
      </w:pPr>
      <w:r>
        <w:t xml:space="preserve">Cohen J, Welling M. Group equivariant CNNs. ICML. 2016.</w:t>
      </w:r>
    </w:p>
    <w:p>
      <w:pPr>
        <w:numPr>
          <w:ilvl w:val="0"/>
          <w:numId w:val="1009"/>
        </w:numPr>
      </w:pPr>
      <w:r>
        <w:t xml:space="preserve">Romero DW, et al. Equivariant Transformers. ICLR. 2022.</w:t>
      </w:r>
    </w:p>
    <w:p>
      <w:pPr>
        <w:numPr>
          <w:ilvl w:val="0"/>
          <w:numId w:val="1009"/>
        </w:numPr>
      </w:pPr>
      <w:r>
        <w:t xml:space="preserve">Hornung V, et al. 5’-Triphosphate RNA is the ligand for RIG-I. Science. 2006;314:994.</w:t>
      </w:r>
    </w:p>
    <w:p>
      <w:pPr>
        <w:numPr>
          <w:ilvl w:val="0"/>
          <w:numId w:val="1009"/>
        </w:numPr>
      </w:pPr>
      <w:r>
        <w:t xml:space="preserve">Ding L, et al. Clonal evolution in relapsed acute myeloid leukaemia revealed by whole-genome sequencing. Nature. 2012;481:506.</w:t>
      </w:r>
    </w:p>
    <w:p>
      <w:pPr>
        <w:numPr>
          <w:ilvl w:val="0"/>
          <w:numId w:val="1009"/>
        </w:numPr>
      </w:pPr>
      <w:r>
        <w:t xml:space="preserve">Peisley A, Hur S. Multi-level regulation of cellular recognition of viral dsRNA. Cell Mol Life Sci. 2013;70:1949.</w:t>
      </w:r>
    </w:p>
    <w:p>
      <w:pPr>
        <w:numPr>
          <w:ilvl w:val="0"/>
          <w:numId w:val="1009"/>
        </w:numPr>
      </w:pPr>
      <w:r>
        <w:t xml:space="preserve">Martinez-Salas E, et al. IRES mechanisms: connecting structure and function. Trends Microbiol. 2018;26:651.</w:t>
      </w:r>
    </w:p>
    <w:p>
      <w:pPr>
        <w:numPr>
          <w:ilvl w:val="0"/>
          <w:numId w:val="1009"/>
        </w:numPr>
      </w:pPr>
      <w:r>
        <w:t xml:space="preserve">Yang Y, et al. Extensive translation of circular RNAs driven by N6-methyladenosine. Cell Res. 2018;28:743.</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2026-06-18T14:20:30Z</dcterms:created>
  <dcterms:modified xsi:type="dcterms:W3CDTF">2026-06-18T14:20:30Z</dcterms:modified>
</cp:coreProperties>
</file>

<file path=docProps/custom.xml><?xml version="1.0" encoding="utf-8"?>
<Properties xmlns="http://schemas.openxmlformats.org/officeDocument/2006/custom-properties" xmlns:vt="http://schemas.openxmlformats.org/officeDocument/2006/docPropsVTypes"/>
</file>