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df" ContentType="application/pdf"/>
  <Override PartName="/word/media/rId23.pdf" ContentType="application/pdf"/>
  <Override PartName="/word/media/rId3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Confluencia 3.0 links circRNA vaccine design with TNBC subtype simulation through four modules: (1) TNBC Simulacrum with spatial TME simulation (nine immune cell types, six cytokines, three compartments, subclonal evolution), (2) CirculaPK six-compartment pharmacokinetics modeling circRNA-specific bottlenecks (1-4% endosomal escape), (3) circRNA innate immune sensing via MDA5/dsRNA, TLR7/8, and PKR with differential m6A suppression, and (4) RL-ABM sequence optimization. Benchmarks: immunogenicity correlates with Chen 2019 IFN-</w:t>
      </w:r>
      <m:oMath>
        <m:r>
          <m:t>β</m:t>
        </m:r>
      </m:oMath>
      <w:r>
        <w:t xml:space="preserve"> </w:t>
      </w:r>
      <w:r>
        <w:t xml:space="preserve">(Spearman</w:t>
      </w:r>
      <w:r>
        <w:t xml:space="preserve"> </w:t>
      </w:r>
      <m:oMath>
        <m:r>
          <m:t>r</m:t>
        </m:r>
        <m:r>
          <m:rPr>
            <m:sty m:val="p"/>
          </m:rPr>
          <m:t>=</m:t>
        </m:r>
        <m:r>
          <m:t>0.91</m:t>
        </m:r>
      </m:oMath>
      <w:r>
        <w:t xml:space="preserve">,</w:t>
      </w:r>
      <w:r>
        <w:t xml:space="preserve"> </w:t>
      </w:r>
      <m:oMath>
        <m:r>
          <m:t>N</m:t>
        </m:r>
        <m:r>
          <m:rPr>
            <m:sty m:val="p"/>
          </m:rPr>
          <m:t>=</m:t>
        </m:r>
        <m:r>
          <m:t>7</m:t>
        </m:r>
      </m:oMath>
      <w:r>
        <w:t xml:space="preserve">; HEK293</w:t>
      </w:r>
      <w:r>
        <w:t xml:space="preserve"> </w:t>
      </w:r>
      <m:oMath>
        <m:r>
          <m:t>N</m:t>
        </m:r>
        <m:r>
          <m:rPr>
            <m:sty m:val="p"/>
          </m:rPr>
          <m:t>=</m:t>
        </m:r>
        <m:r>
          <m:t>15</m:t>
        </m:r>
      </m:oMath>
      <w:r>
        <w:t xml:space="preserve"> </w:t>
      </w:r>
      <m:oMath>
        <m:r>
          <m:t>r</m:t>
        </m:r>
        <m:r>
          <m:rPr>
            <m:sty m:val="p"/>
          </m:rPr>
          <m:t>=</m:t>
        </m:r>
        <m:r>
          <m:t>0.68</m:t>
        </m:r>
      </m:oMath>
      <w:r>
        <w:t xml:space="preserve"> </w:t>
      </w:r>
      <w:r>
        <w:t xml:space="preserve">[0.26-0.88]); PK matches Wesselhoeft 2018 half-lives (12% error [CI 3-21%],</w:t>
      </w:r>
      <w:r>
        <w:t xml:space="preserve"> </w:t>
      </w:r>
      <m:oMath>
        <m:r>
          <m:t>N</m:t>
        </m:r>
        <m:r>
          <m:rPr>
            <m:sty m:val="p"/>
          </m:rPr>
          <m:t>=</m:t>
        </m:r>
        <m:r>
          <m:t>4</m:t>
        </m:r>
      </m:oMath>
      <w:r>
        <w:t xml:space="preserve">). Sample sizes are small. We propose TorusFold, an architecture for circRNA 3D structure prediction that handles</w:t>
      </w:r>
      <w:r>
        <w:t xml:space="preserve"> </w:t>
      </w:r>
      <m:oMath>
        <m:sSup>
          <m:e>
            <m:r>
              <m:t>S</m:t>
            </m:r>
          </m:e>
          <m:sup>
            <m:r>
              <m:t>1</m:t>
            </m:r>
          </m:sup>
        </m:sSup>
      </m:oMath>
      <w:r>
        <w:t xml:space="preserve"> </w:t>
      </w:r>
      <w:r>
        <w:t xml:space="preserve">topology through Torus Positional Encoding with guaranteed periodicity, circular distance, and rotation-equivariant CircPairformer. The pair prediction head is non-functional without training data. Wet-lab validation ongoing. Code: github.com/RomanCohort/confluencia (MIT). Confluencia Hub supports federated model sharing.</w:t>
      </w:r>
    </w:p>
    <w:bookmarkEnd w:id="9"/>
    <w:bookmarkStart w:id="14" w:name="introduction"/>
    <w:p>
      <w:pPr>
        <w:pStyle w:val="Heading1"/>
      </w:pPr>
      <w:r>
        <w:t xml:space="preserve">Introduction</w:t>
      </w:r>
    </w:p>
    <w:bookmarkStart w:id="10" w:name="the-circrna-vaccine-opportunity"/>
    <w:p>
      <w:pPr>
        <w:pStyle w:val="Heading2"/>
      </w:pPr>
      <w:r>
        <w:t xml:space="preserve">The circRNA Vaccine Opportunity</w:t>
      </w:r>
    </w:p>
    <w:p>
      <w:pPr>
        <w:pStyle w:val="FirstParagraph"/>
      </w:pPr>
      <w:r>
        <w:t xml:space="preserve">Circular RNA (circRNA) is more stable than linear mRNA for vaccine cargo. Wesselhoeft et al.</w:t>
      </w:r>
      <w:r>
        <w:t xml:space="preserve"> </w:t>
      </w:r>
      <w:r>
        <w:t xml:space="preserve"> </w:t>
      </w:r>
      <w:r>
        <w:t xml:space="preserve">measured circRNA half-lives of 8-24 hours versus linear mRNA’s 2-4 hours, with sustained protein expression over multiple days. The back-splice junction (BSJ) links the 3’ and 5’ ends, blocking exonuclease degradation. This stability means reduced dosing frequency and lower manufacturing costs.</w:t>
      </w:r>
    </w:p>
    <w:p>
      <w:pPr>
        <w:pStyle w:val="BodyText"/>
      </w:pPr>
      <w:r>
        <w:t xml:space="preserve">Triple-negative breast cancer (TNBC) has four molecular subtypes (BLIS, BLIA, IM, LAR) with distinct immune microenvironments</w:t>
      </w:r>
      <w:r>
        <w:t xml:space="preserve"> </w:t>
      </w:r>
      <w:r>
        <w:t xml:space="preserve">. IM (Immunomodulatory) tumors have high TIL density (0.50-0.70), PD-L1 expression (0.40-0.60), and respond to checkpoint inhibitors. BLIS (Basal-like Immune Suppressed) has the worst prognosis with TIL</w:t>
      </w:r>
      <w:r>
        <w:t xml:space="preserve"> </w:t>
      </w:r>
      <m:oMath>
        <m:r>
          <m:rPr>
            <m:sty m:val="p"/>
          </m:rPr>
          <m:t>&lt;</m:t>
        </m:r>
        <m:r>
          <m:t>0.15</m:t>
        </m:r>
      </m:oMath>
      <w:r>
        <w:t xml:space="preserve"> </w:t>
      </w:r>
      <w:r>
        <w:t xml:space="preserve">and early immune escape. Vaccine design should adapt to subtype rather than treat all TNBC uniformly.</w:t>
      </w:r>
    </w:p>
    <w:bookmarkEnd w:id="10"/>
    <w:bookmarkStart w:id="11" w:name="the-computational-gap"/>
    <w:p>
      <w:pPr>
        <w:pStyle w:val="Heading2"/>
      </w:pPr>
      <w:r>
        <w:t xml:space="preserve">The Computational Gap</w:t>
      </w:r>
    </w:p>
    <w:p>
      <w:pPr>
        <w:pStyle w:val="FirstParagraph"/>
      </w:pPr>
      <w:r>
        <w:t xml:space="preserve">No platform links circRNA design to TNBC subtype-specific simulation. Current tools work independently: ViennaRNA predicts secondary structure, PK-Sim models pharmacokinetics, PhysiCell simulates tumor dynamics. Integration is manual. circRNA-specific features are missing.</w:t>
      </w:r>
    </w:p>
    <w:p>
      <w:pPr>
        <w:pStyle w:val="BodyText"/>
      </w:pPr>
      <w:r>
        <w:t xml:space="preserve">Three gaps matter. circRNA pharmacokinetics differ from linear mRNA. LNP encapsulation creates tissue-specific biodistribution (liver 80%, spleen 10%). Endosomal escape is a bottleneck at 1-4% efficiency</w:t>
      </w:r>
      <w:r>
        <w:t xml:space="preserve"> </w:t>
      </w:r>
      <w:r>
        <w:t xml:space="preserve">. Over 96% of the therapeutic never reaches its destination. circRNA degradation uses exonuclease-resistant pathways. Standard PK models omit these. circRNA immune sensing also differs. circRNAs lack 5’ termini, so RIG-I 5’-ppp sensing does not apply</w:t>
      </w:r>
      <w:r>
        <w:t xml:space="preserve"> </w:t>
      </w:r>
      <w:r>
        <w:t xml:space="preserve">. Immunogenicity comes from dsRNA backbone structures sensed by MDA5</w:t>
      </w:r>
      <w:r>
        <w:t xml:space="preserve"> </w:t>
      </w:r>
      <w:r>
        <w:t xml:space="preserve"> </w:t>
      </w:r>
      <w:r>
        <w:t xml:space="preserve">and modulated by intron identity. Existing tools assume linear RNA sensing. Finally,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w:t>
      </w:r>
    </w:p>
    <w:p>
      <w:pPr>
        <w:pStyle w:val="BodyText"/>
      </w:pPr>
      <w:r>
        <w:t xml:space="preserve">Confluencia 3.0 addresses these gaps through an EventBus architecture: (1) TNBC Simulacrum with spatial TME simulation, (2) CirculaPK pharmacokinetics with circRNA-specific compartments, (3) circRNA immunogenicity scoring with pathway-resolved sensing, and (4) RL-ABM sequence evolution. We propose TorusFold for structure prediction.</w:t>
      </w:r>
    </w:p>
    <w:bookmarkEnd w:id="11"/>
    <w:bookmarkStart w:id="12" w:name="the-structure-prediction-challenge"/>
    <w:p>
      <w:pPr>
        <w:pStyle w:val="Heading2"/>
      </w:pPr>
      <w:r>
        <w:t xml:space="preserve">The Structure Prediction Challenge</w:t>
      </w:r>
    </w:p>
    <w:p>
      <w:pPr>
        <w:pStyle w:val="FirstParagraph"/>
      </w:pPr>
      <w:r>
        <w:t xml:space="preserve">Current circRNA structure prediction uses thermodynamic models (ViennaRNA circ mode) that handle circular topology through dynamic programming. But thermodynamic models do not support structure-informed downstream tasks like predicting BSJ-flanking region stability, estimating IRES accessibility in 3D context, or modeling ribosome binding site exposure.</w:t>
      </w:r>
    </w:p>
    <w:p>
      <w:pPr>
        <w:pStyle w:val="BodyText"/>
      </w:pPr>
      <w:r>
        <w:t xml:space="preserve">Deep learning approaches (AlphaFold, ESM) revolutionized protein structure prediction but are not designed for circRNA’s</w:t>
      </w:r>
      <w:r>
        <w:t xml:space="preserve"> </w:t>
      </w:r>
      <m:oMath>
        <m:sSup>
          <m:e>
            <m:r>
              <m:t>S</m:t>
            </m:r>
          </m:e>
          <m:sup>
            <m:r>
              <m:t>1</m:t>
            </m:r>
          </m:sup>
        </m:sSup>
      </m:oMath>
      <w:r>
        <w:t xml:space="preserve"> </w:t>
      </w:r>
      <w:r>
        <w:t xml:space="preserve">topology. Standard positional encoding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w:t>
      </w:r>
      <w:r>
        <w:t xml:space="preserve">for circRNA lengths, breaking periodicity at the BSJ. We propose TorusFold as an architecture that models circular topology natively. Validation awaits circRNA 3D structure data. We propose circRNA-CASP as a community benchmark, analogous to CASP for proteins.</w:t>
      </w:r>
    </w:p>
    <w:bookmarkEnd w:id="12"/>
    <w:bookmarkStart w:id="13" w:name="Xe87154d73caacf98b9fd08566b2547bb4558b24"/>
    <w:p>
      <w:pPr>
        <w:pStyle w:val="Heading2"/>
      </w:pPr>
      <w:r>
        <w:t xml:space="preserve">Accessibility, Extensibility, and Data Sharing</w:t>
      </w:r>
    </w:p>
    <w:p>
      <w:pPr>
        <w:pStyle w:val="FirstParagraph"/>
      </w:pPr>
      <w:r>
        <w:t xml:space="preserve">Most computational biology tools require programming, limiting use by experimental biologists. circRNA researchers are often molecular biologists, not software engineers. Confluencia 3.0 provides multiple interfaces: Python API, Streamlit web UI, CLI, R package, and PyQt6 desktop IDE with natural-language query.</w:t>
      </w:r>
    </w:p>
    <w:p>
      <w:pPr>
        <w:pStyle w:val="BodyText"/>
      </w:pPr>
      <w:r>
        <w:t xml:space="preserve">Algorithms become outdated as methods improve. Confluencia 3.0 uses an EventBus architecture that decouples modules via event-driven communication. Each component subscribes to events and emits results independently. New algorithms can replace existing implementations without modifying other modules.</w:t>
      </w:r>
    </w:p>
    <w:p>
      <w:pPr>
        <w:pStyle w:val="BodyText"/>
      </w:pPr>
      <w:r>
        <w:t xml:space="preserve">The small-sample problem is endemic to circRNA computational work. Confluencia Hub is a federated model sharing system where users upload trained model bundles, not raw data. No SMILES or nucleotide sequences are logged. Contributors can strip statistical traces (env_medians) before upload. Ethics-gated uploads require data source declaration (DOI or IRB number) and dual-use screening.</w:t>
      </w:r>
    </w:p>
    <w:bookmarkEnd w:id="13"/>
    <w:bookmarkEnd w:id="14"/>
    <w:bookmarkStart w:id="30" w:name="methods"/>
    <w:p>
      <w:pPr>
        <w:pStyle w:val="Heading1"/>
      </w:pPr>
      <w:r>
        <w:t xml:space="preserve">Methods</w:t>
      </w:r>
    </w:p>
    <w:bookmarkStart w:id="20" w:name="module-1-tnbc-simulacrum"/>
    <w:p>
      <w:pPr>
        <w:pStyle w:val="Heading2"/>
      </w:pPr>
      <w:r>
        <w:t xml:space="preserve">Module 1: TNBC Simulacrum</w:t>
      </w:r>
    </w:p>
    <w:p>
      <w:pPr>
        <w:pStyle w:val="FirstParagraph"/>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Subtype-specific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recapitulate input assumptions. IM is parameterized with higher TIL (0.50-0.70) than BLIS (0.08-0.15); the finding that IM responds better to immunotherapy is a direct consequence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8" w:name="fig:tnbc_simulation"/>
    <w:p>
      <w:pPr>
        <w:pStyle w:val="CaptionedFigure"/>
      </w:pPr>
      <w:r>
        <w:drawing>
          <wp:inline>
            <wp:extent cx="4533900" cy="4140840"/>
            <wp:effectExtent b="0" l="0" r="0" t="0"/>
            <wp:docPr descr="" title="" id="16" name="Picture"/>
            <a:graphic>
              <a:graphicData uri="http://schemas.openxmlformats.org/drawingml/2006/picture">
                <pic:pic>
                  <pic:nvPicPr>
                    <pic:cNvPr descr="fig3_tnbc_simulation.pdf" id="17" name="Picture"/>
                    <pic:cNvPicPr>
                      <a:picLocks noChangeArrowheads="1" noChangeAspect="1"/>
                    </pic:cNvPicPr>
                  </pic:nvPicPr>
                  <pic:blipFill>
                    <a:blip r:embed="rId15"/>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8"/>
    <w:p>
      <w:pPr>
        <w:pStyle w:val="BodyText"/>
      </w:pPr>
      <w:r>
        <w:rPr>
          <w:b/>
          <w:bCs/>
        </w:rPr>
        <w:t xml:space="preserve">Subclonal Evolution with Drug-Induced Instability.</w:t>
      </w:r>
      <w:r>
        <w:t xml:space="preserve"> </w:t>
      </w:r>
      <w:r>
        <w:t xml:space="preserve">Tumor heterogeneity is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acknowledging that this discrete approximation simplifies the continuous reality of tumor heterogeneity. Drug pressure induces genomic instability: mutation rate increases from baseline 1%/step to 50%/step under treatment, modeling the clinical reality of accelerated mutagenesis under chemotherapy</w:t>
      </w:r>
      <w:r>
        <w:t xml:space="preserve"> </w:t>
      </w:r>
      <w:r>
        <w:t xml:space="preserve">. Resistant clones acquire selection advantage proportional to drug concentration, capturing the emergence of drug resistance that static tumor models cannot predict. Epigenetic adaptation occurs at 2%/step, modeling non-genetic resistance mechanisms. The EventBus emits DRUG_RESISTANCE_EMERGED events when Shannon diversity exceeds threshold, triggering treatment adaptation.</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9"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9"/>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w:t>
      </w:r>
      <w:r>
        <w:t xml:space="preserve"> </w:t>
      </w:r>
      <m:oMath>
        <m:r>
          <m:rPr>
            <m:sty m:val="p"/>
          </m:rPr>
          <m:t>&gt;</m:t>
        </m:r>
        <m:r>
          <m:t>0.3</m:t>
        </m:r>
      </m:oMath>
      <w:r>
        <w:t xml:space="preserve">, implementing three-tier adaptation: fine-tuning (small errors), weight reconfiguration (moderate), structural plasticity (large errors). This architecture enables tissue-specific ADMET modulation and clinical feedback integration without retraining.</w:t>
      </w:r>
    </w:p>
    <w:bookmarkEnd w:id="20"/>
    <w:bookmarkStart w:id="21" w:name="module-2-circulapk-pharmacokinetics"/>
    <w:p>
      <w:pPr>
        <w:pStyle w:val="Heading2"/>
      </w:pPr>
      <w:r>
        <w:t xml:space="preserve">Module 2: CirculaPK Pharmacokinetics</w:t>
      </w:r>
    </w:p>
    <w:p>
      <w:pPr>
        <w:pStyle w:val="FirstParagraph"/>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21"/>
    <w:bookmarkStart w:id="28"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explicitly distinguishes circRNA from linear RNA innate immune activation mechanisms. The key biological insight is that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22"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22"/>
    <w:bookmarkStart w:id="26" w:name="fig:immunogenicity"/>
    <w:p>
      <w:pPr>
        <w:pStyle w:val="CaptionedFigure"/>
      </w:pPr>
      <w:r>
        <w:drawing>
          <wp:inline>
            <wp:extent cx="4533900" cy="2184681"/>
            <wp:effectExtent b="0" l="0" r="0" t="0"/>
            <wp:docPr descr="" title="" id="24" name="Picture"/>
            <a:graphic>
              <a:graphicData uri="http://schemas.openxmlformats.org/drawingml/2006/picture">
                <pic:pic>
                  <pic:nvPicPr>
                    <pic:cNvPr descr="fig5_immunogenicity_correlation.pdf" id="25" name="Picture"/>
                    <pic:cNvPicPr>
                      <a:picLocks noChangeArrowheads="1" noChangeAspect="1"/>
                    </pic:cNvPicPr>
                  </pic:nvPicPr>
                  <pic:blipFill>
                    <a:blip r:embed="rId23"/>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6"/>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bookmarkStart w:id="27"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7"/>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w:t>
      </w:r>
      <m:oMath>
        <m:r>
          <m:rPr>
            <m:sty m:val="p"/>
          </m:rPr>
          <m:t>±</m:t>
        </m:r>
      </m:oMath>
      <w:r>
        <w:t xml:space="preserve">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8"/>
    <w:bookmarkStart w:id="29"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9"/>
    <w:bookmarkEnd w:id="30"/>
    <w:bookmarkStart w:id="38" w:name="results"/>
    <w:p>
      <w:pPr>
        <w:pStyle w:val="Heading1"/>
      </w:pPr>
      <w:r>
        <w:t xml:space="preserve">Results</w:t>
      </w:r>
    </w:p>
    <w:bookmarkStart w:id="31" w:name="tnbc-simulation"/>
    <w:p>
      <w:pPr>
        <w:pStyle w:val="Heading2"/>
      </w:pPr>
      <w:r>
        <w:t xml:space="preserve">TNBC Simulation</w:t>
      </w:r>
    </w:p>
    <w:p>
      <w:pPr>
        <w:pStyle w:val="FirstParagraph"/>
      </w:pPr>
      <w:r>
        <w:t xml:space="preserve">IM subtype sustains immunoediting equilibrium (TIL</w:t>
      </w:r>
      <w:r>
        <w:t xml:space="preserve"> </w:t>
      </w:r>
      <m:oMath>
        <m:r>
          <m:rPr>
            <m:sty m:val="p"/>
          </m:rPr>
          <m:t>&gt;</m:t>
        </m:r>
      </m:oMath>
      <w:r>
        <w:t xml:space="preserve">0.50) across 30 simulation cycles. BLIS escapes by cycle 12 (TIL</w:t>
      </w:r>
      <w:r>
        <w:t xml:space="preserve"> </w:t>
      </w:r>
      <m:oMath>
        <m:r>
          <m:rPr>
            <m:sty m:val="p"/>
          </m:rPr>
          <m:t>&lt;</m:t>
        </m:r>
      </m:oMath>
      <w:r>
        <w:t xml:space="preserve">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31"/>
    <w:bookmarkStart w:id="32"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experimental values with 12% relative error [CI 3-21%] (</w:t>
      </w:r>
      <m:oMath>
        <m:r>
          <m:t>N</m:t>
        </m:r>
        <m:r>
          <m:rPr>
            <m:sty m:val="p"/>
          </m:rPr>
          <m:t>=</m:t>
        </m:r>
        <m:r>
          <m:t>4</m:t>
        </m:r>
      </m:oMath>
      <w:r>
        <w:t xml:space="preserve"> </w:t>
      </w:r>
      <w:r>
        <w:t xml:space="preserve">constructs). m6A modification extends half-life to</w:t>
      </w:r>
      <w:r>
        <w:t xml:space="preserve"> </w:t>
      </w:r>
      <m:oMath>
        <m:r>
          <m:rPr>
            <m:sty m:val="p"/>
          </m:rPr>
          <m:t>∼</m:t>
        </m:r>
      </m:oMath>
      <w:r>
        <w:t xml:space="preserve">15-22 h; Psi to</w:t>
      </w:r>
      <w:r>
        <w:t xml:space="preserve"> </w:t>
      </w:r>
      <m:oMath>
        <m:r>
          <m:rPr>
            <m:sty m:val="p"/>
          </m:rPr>
          <m:t>∼</m:t>
        </m:r>
      </m:oMath>
      <w:r>
        <w:t xml:space="preserve">20-30 h. The six-compartment model captures the endosomal escape bottleneck: only 2-4% of injected circRNA reaches the cytoplasm.</w:t>
      </w:r>
    </w:p>
    <w:p>
      <w:pPr>
        <w:pStyle w:val="BodyText"/>
      </w:pPr>
      <w:r>
        <w:rPr>
          <w:b/>
          <w:bCs/>
        </w:rPr>
        <w:t xml:space="preserve">Model comparison.</w:t>
      </w:r>
      <w:r>
        <w:t xml:space="preserve"> </w:t>
      </w:r>
      <w:r>
        <w:t xml:space="preserve">With</w:t>
      </w:r>
      <w:r>
        <w:t xml:space="preserve"> </w:t>
      </w:r>
      <m:oMath>
        <m:r>
          <m:t>N</m:t>
        </m:r>
        <m:r>
          <m:rPr>
            <m:sty m:val="p"/>
          </m:rPr>
          <m:t>=</m:t>
        </m:r>
        <m:r>
          <m:t>4</m:t>
        </m:r>
      </m:oMath>
      <w:r>
        <w:t xml:space="preserve">, statistical model comparison is underpowered. Six-compartment AIC = 18.2 vs. two-compartment AIC = 22.7 (</w:t>
      </w:r>
      <m:oMath>
        <m:r>
          <m:rPr>
            <m:sty m:val="p"/>
          </m:rPr>
          <m:t>Δ</m:t>
        </m:r>
      </m:oMath>
      <w:r>
        <w:t xml:space="preserve">AIC = 4.5 favoring six-compartment), but this difference is not significant at</w:t>
      </w:r>
      <w:r>
        <w:t xml:space="preserve"> </w:t>
      </w:r>
      <m:oMath>
        <m:r>
          <m:t>N</m:t>
        </m:r>
        <m:r>
          <m:rPr>
            <m:sty m:val="p"/>
          </m:rPr>
          <m:t>=</m:t>
        </m:r>
        <m:r>
          <m:t>4</m:t>
        </m:r>
      </m:oMath>
      <w:r>
        <w:t xml:space="preserve">. A minimum of</w:t>
      </w:r>
      <w:r>
        <w:t xml:space="preserve"> </w:t>
      </w:r>
      <m:oMath>
        <m:r>
          <m:rPr>
            <m:sty m:val="p"/>
          </m:rPr>
          <m:t>∼</m:t>
        </m:r>
      </m:oMath>
      <w:r>
        <w:t xml:space="preserve">12 constructs would be needed to distinguish models at</w:t>
      </w:r>
      <w:r>
        <w:t xml:space="preserve"> </w:t>
      </w:r>
      <m:oMath>
        <m:r>
          <m:t>α</m:t>
        </m:r>
        <m:r>
          <m:rPr>
            <m:sty m:val="p"/>
          </m:rPr>
          <m:t>=</m:t>
        </m:r>
        <m:r>
          <m:t>0.05</m:t>
        </m:r>
      </m:oMath>
      <w:r>
        <w:t xml:space="preserve">, power=0.80.</w:t>
      </w:r>
    </w:p>
    <w:bookmarkEnd w:id="32"/>
    <w:bookmarkStart w:id="33" w:name="immunogenicity"/>
    <w:p>
      <w:pPr>
        <w:pStyle w:val="Heading2"/>
      </w:pPr>
      <w:r>
        <w:t xml:space="preserve">Immunogenicity</w:t>
      </w:r>
    </w:p>
    <w:p>
      <w:pPr>
        <w:pStyle w:val="FirstParagraph"/>
      </w:pPr>
      <w:r>
        <w:t xml:space="preserve">Chen et al.</w:t>
      </w:r>
      <w:r>
        <w:t xml:space="preserve"> </w:t>
      </w:r>
      <w:r>
        <w:t xml:space="preserve"> </w:t>
      </w:r>
      <w:r>
        <w:t xml:space="preserve">preliminary correlation:</w:t>
      </w:r>
      <w:r>
        <w:t xml:space="preserve"> </w:t>
      </w:r>
      <m:oMath>
        <m:r>
          <m:t>r</m:t>
        </m:r>
        <m:r>
          <m:rPr>
            <m:sty m:val="p"/>
          </m:rPr>
          <m:t>=</m:t>
        </m:r>
        <m:r>
          <m:t>0.91</m:t>
        </m:r>
      </m:oMath>
      <w:r>
        <w:t xml:space="preserve"> </w:t>
      </w:r>
      <w:r>
        <w:t xml:space="preserve">(Spearman,</w:t>
      </w:r>
      <w:r>
        <w:t xml:space="preserve"> </w:t>
      </w:r>
      <m:oMath>
        <m:r>
          <m:t>N</m:t>
        </m:r>
        <m:r>
          <m:rPr>
            <m:sty m:val="p"/>
          </m:rPr>
          <m:t>=</m:t>
        </m:r>
        <m:r>
          <m:t>7</m:t>
        </m:r>
      </m:oMath>
      <w:r>
        <w:t xml:space="preserve"> </w:t>
      </w:r>
      <w:r>
        <w:t xml:space="preserve">circRNA sequences with published IFN-</w:t>
      </w:r>
      <m:oMath>
        <m:r>
          <m:t>β</m:t>
        </m:r>
      </m:oMath>
      <w:r>
        <w:t xml:space="preserve">). Leave-one-out analysis: median LOO</w:t>
      </w:r>
      <w:r>
        <w:t xml:space="preserve"> </w:t>
      </w:r>
      <m:oMath>
        <m:r>
          <m:t>r</m:t>
        </m:r>
        <m:r>
          <m:rPr>
            <m:sty m:val="p"/>
          </m:rPr>
          <m:t>=</m:t>
        </m:r>
        <m:r>
          <m:t>0.87</m:t>
        </m:r>
      </m:oMath>
      <w:r>
        <w:t xml:space="preserve"> </w:t>
      </w:r>
      <w:r>
        <w:t xml:space="preserve">[IQR 0.82-0.91, range 0.79-0.94]. With</w:t>
      </w:r>
      <w:r>
        <w:t xml:space="preserve"> </w:t>
      </w:r>
      <m:oMath>
        <m:r>
          <m:t>N</m:t>
        </m:r>
        <m:r>
          <m:rPr>
            <m:sty m:val="p"/>
          </m:rPr>
          <m:t>=</m:t>
        </m:r>
        <m:r>
          <m:t>7</m:t>
        </m:r>
      </m:oMath>
      <w:r>
        <w:t xml:space="preserve">, power to distinguish</w:t>
      </w:r>
      <w:r>
        <w:t xml:space="preserve"> </w:t>
      </w:r>
      <m:oMath>
        <m:r>
          <m:t>r</m:t>
        </m:r>
        <m:r>
          <m:rPr>
            <m:sty m:val="p"/>
          </m:rPr>
          <m:t>=</m:t>
        </m:r>
        <m:r>
          <m:t>0.91</m:t>
        </m:r>
      </m:oMath>
      <w:r>
        <w:t xml:space="preserve"> </w:t>
      </w:r>
      <w:r>
        <w:t xml:space="preserve">from</w:t>
      </w:r>
      <w:r>
        <w:t xml:space="preserve"> </w:t>
      </w:r>
      <m:oMath>
        <m:r>
          <m:t>r</m:t>
        </m:r>
        <m:r>
          <m:rPr>
            <m:sty m:val="p"/>
          </m:rPr>
          <m:t>=</m:t>
        </m:r>
        <m:r>
          <m:t>0.50</m:t>
        </m:r>
      </m:oMath>
      <w:r>
        <w:t xml:space="preserve"> </w:t>
      </w:r>
      <w:r>
        <w:t xml:space="preserve">at</w:t>
      </w:r>
      <w:r>
        <w:t xml:space="preserve"> </w:t>
      </w:r>
      <m:oMath>
        <m:r>
          <m:t>α</m:t>
        </m:r>
        <m:r>
          <m:rPr>
            <m:sty m:val="p"/>
          </m:rPr>
          <m:t>=</m:t>
        </m:r>
        <m:r>
          <m:t>0.05</m:t>
        </m:r>
      </m:oMath>
      <w:r>
        <w:t xml:space="preserve"> </w:t>
      </w:r>
      <w:r>
        <w:t xml:space="preserve">is approximately 0.35.</w:t>
      </w:r>
    </w:p>
    <w:p>
      <w:pPr>
        <w:pStyle w:val="BodyText"/>
      </w:pPr>
      <w:r>
        <w:t xml:space="preserve">HEK293 experimental data (</w:t>
      </w:r>
      <m:oMath>
        <m:r>
          <m:t>N</m:t>
        </m:r>
        <m:r>
          <m:rPr>
            <m:sty m:val="p"/>
          </m:rPr>
          <m:t>=</m:t>
        </m:r>
        <m:r>
          <m:t>15</m:t>
        </m:r>
      </m:oMath>
      <w:r>
        <w:t xml:space="preserve">, independent from Chen 2019):</w:t>
      </w:r>
      <w:r>
        <w:t xml:space="preserve"> </w:t>
      </w:r>
      <m:oMath>
        <m:r>
          <m:t>r</m:t>
        </m:r>
        <m:r>
          <m:rPr>
            <m:sty m:val="p"/>
          </m:rPr>
          <m:t>=</m:t>
        </m:r>
        <m:r>
          <m:t>0.68</m:t>
        </m:r>
      </m:oMath>
      <w:r>
        <w:t xml:space="preserve"> </w:t>
      </w:r>
      <w:r>
        <w:t xml:space="preserve">[CI 0.26-0.88].</w:t>
      </w:r>
    </w:p>
    <w:p>
      <w:pPr>
        <w:pStyle w:val="BodyText"/>
      </w:pPr>
      <w:r>
        <w:t xml:space="preserve">GC-only model:</w:t>
      </w:r>
      <w:r>
        <w:t xml:space="preserve"> </w:t>
      </w:r>
      <m:oMath>
        <m:r>
          <m:t>r</m:t>
        </m:r>
        <m:r>
          <m:rPr>
            <m:sty m:val="p"/>
          </m:rPr>
          <m:t>=</m:t>
        </m:r>
        <m:r>
          <m:t>0.79</m:t>
        </m:r>
      </m:oMath>
      <w:r>
        <w:t xml:space="preserve"> </w:t>
      </w:r>
      <w:r>
        <w:t xml:space="preserve">(</w:t>
      </w:r>
      <m:oMath>
        <m:r>
          <m:t>N</m:t>
        </m:r>
        <m:r>
          <m:rPr>
            <m:sty m:val="p"/>
          </m:rPr>
          <m:t>=</m:t>
        </m:r>
        <m:r>
          <m:t>50</m:t>
        </m:r>
      </m:oMath>
      <w:r>
        <w:t xml:space="preserve"> </w:t>
      </w:r>
      <w:r>
        <w:t xml:space="preserve">circBase). Pathway decomposition:</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Modest but statistically significant improvement over GC content alone.</w:t>
      </w:r>
    </w:p>
    <w:bookmarkEnd w:id="33"/>
    <w:bookmarkStart w:id="35" w:name="torusfold-circular-topology-validation"/>
    <w:p>
      <w:pPr>
        <w:pStyle w:val="Heading2"/>
      </w:pPr>
      <w:r>
        <w:t xml:space="preserve">TorusFold Circular Topology Validation</w:t>
      </w:r>
    </w:p>
    <w:p>
      <w:pPr>
        <w:pStyle w:val="FirstParagraph"/>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Standard PE correlates with linear distance (</w:t>
      </w:r>
      <m:oMath>
        <m:r>
          <m:t>r</m:t>
        </m:r>
        <m:r>
          <m:rPr>
            <m:sty m:val="p"/>
          </m:rPr>
          <m:t>=</m:t>
        </m:r>
        <m:r>
          <m:t>0.933</m:t>
        </m:r>
      </m:oMath>
      <w:r>
        <w:t xml:space="preserve">). For positions that are neighbors on the circle but far apart linearly (across the BSJ), TPE assigns average embedding distance 4.50. Standard PE assigns 9.60. TPE correctly identifies BSJ-crossing positions as neighbors.</w:t>
      </w:r>
    </w:p>
    <w:bookmarkStart w:id="34"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34"/>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 This follows from TPE’s construction and is verified empirically.</w:t>
      </w:r>
    </w:p>
    <w:p>
      <w:pPr>
        <w:pStyle w:val="BodyText"/>
      </w:pPr>
      <w:r>
        <w:rPr>
          <w:b/>
          <w:bCs/>
        </w:rPr>
        <w:t xml:space="preserve">Parameter sensitivity.</w:t>
      </w:r>
      <w:r>
        <w:t xml:space="preserve"> </w:t>
      </w:r>
      <w:r>
        <w:t xml:space="preserve">Harmonics count</w:t>
      </w:r>
      <w:r>
        <w:t xml:space="preserve"> </w:t>
      </w:r>
      <m:oMath>
        <m:r>
          <m:t>H</m:t>
        </m:r>
      </m:oMath>
      <w:r>
        <w:t xml:space="preserve"> </w:t>
      </w:r>
      <w:r>
        <w:t xml:space="preserve">is stable. BSJ-region MSE varies by under 7% across</w:t>
      </w:r>
      <w:r>
        <w:t xml:space="preserve"> </w:t>
      </w:r>
      <m:oMath>
        <m:r>
          <m:t>H</m:t>
        </m:r>
      </m:oMath>
      <w:r>
        <w:t xml:space="preserve">=8 (0.000133),</w:t>
      </w:r>
      <w:r>
        <w:t xml:space="preserve"> </w:t>
      </w:r>
      <m:oMath>
        <m:r>
          <m:t>H</m:t>
        </m:r>
      </m:oMath>
      <w:r>
        <w:t xml:space="preserve">=16 (0.000142),</w:t>
      </w:r>
      <w:r>
        <w:t xml:space="preserve"> </w:t>
      </w:r>
      <m:oMath>
        <m:r>
          <m:t>H</m:t>
        </m:r>
      </m:oMath>
      <w:r>
        <w:t xml:space="preserve">=32 (0.000136),</w:t>
      </w:r>
      <w:r>
        <w:t xml:space="preserve"> </w:t>
      </w:r>
      <m:oMath>
        <m:r>
          <m:t>H</m:t>
        </m:r>
      </m:oMath>
      <w:r>
        <w:t xml:space="preserve">=64 (0.000137). Low-frequency harmonics capture the circular topology signal.</w:t>
      </w:r>
      <w:r>
        <w:t xml:space="preserve"> </w:t>
      </w:r>
      <m:oMath>
        <m:r>
          <m:t>H</m:t>
        </m:r>
      </m:oMath>
      <w:r>
        <w:t xml:space="preserve">=16 balances expressiveness and parameters. BSJ window size behaves consistently:</w:t>
      </w:r>
      <w:r>
        <w:t xml:space="preserve"> </w:t>
      </w:r>
      <m:oMath>
        <m:r>
          <m:rPr>
            <m:sty m:val="p"/>
          </m:rPr>
          <m:t>±</m:t>
        </m:r>
      </m:oMath>
      <w:r>
        <w:t xml:space="preserve">10nt (+19.7%),</w:t>
      </w:r>
      <w:r>
        <w:t xml:space="preserve"> </w:t>
      </w:r>
      <m:oMath>
        <m:r>
          <m:rPr>
            <m:sty m:val="p"/>
          </m:rPr>
          <m:t>±</m:t>
        </m:r>
      </m:oMath>
      <w:r>
        <w:t xml:space="preserve">15nt (+13.8%),</w:t>
      </w:r>
      <w:r>
        <w:t xml:space="preserve"> </w:t>
      </w:r>
      <m:oMath>
        <m:r>
          <m:rPr>
            <m:sty m:val="p"/>
          </m:rPr>
          <m:t>±</m:t>
        </m:r>
      </m:oMath>
      <w:r>
        <w:t xml:space="preserve">20nt (+12.6%),</w:t>
      </w:r>
      <w:r>
        <w:t xml:space="preserve"> </w:t>
      </w:r>
      <m:oMath>
        <m:r>
          <m:rPr>
            <m:sty m:val="p"/>
          </m:rPr>
          <m:t>±</m:t>
        </m:r>
      </m:oMath>
      <w:r>
        <w:t xml:space="preserve">25nt (+11.6%). Larger windows give more stable estimates.</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 circular shift</w:t>
      </w:r>
      <w:r>
        <w:t xml:space="preserve"> </w:t>
      </w:r>
      <m:oMath>
        <m:r>
          <m:t>k</m:t>
        </m:r>
      </m:oMath>
      <w:r>
        <w:t xml:space="preserve"> </w:t>
      </w:r>
      <w:r>
        <w:t xml:space="preserve">produces output shifted by</w:t>
      </w:r>
      <w:r>
        <w:t xml:space="preserve"> </w:t>
      </w:r>
      <m:oMath>
        <m:r>
          <m:t>k</m:t>
        </m:r>
      </m:oMath>
      <w:r>
        <w:t xml:space="preserve">, for all</w:t>
      </w:r>
      <w:r>
        <w:t xml:space="preserve"> </w:t>
      </w:r>
      <m:oMath>
        <m:r>
          <m:t>k</m:t>
        </m:r>
        <m:r>
          <m:rPr>
            <m:sty m:val="p"/>
          </m:rPr>
          <m:t>∈</m:t>
        </m:r>
        <m:r>
          <m:rPr>
            <m:sty m:val="p"/>
          </m:rPr>
          <m:t>[</m:t>
        </m:r>
        <m:r>
          <m:t>0</m:t>
        </m:r>
        <m:r>
          <m:rPr>
            <m:sty m:val="p"/>
          </m:rPr>
          <m:t>,</m:t>
        </m:r>
        <m:r>
          <m:t>L</m:t>
        </m:r>
        <m:r>
          <m:rPr>
            <m:sty m:val="p"/>
          </m:rPr>
          <m:t>]</m:t>
        </m:r>
      </m:oMath>
      <w:r>
        <w:t xml:space="preserve">.</w:t>
      </w:r>
    </w:p>
    <w:bookmarkEnd w:id="35"/>
    <w:bookmarkStart w:id="36" w:name="subclonal-evolution"/>
    <w:p>
      <w:pPr>
        <w:pStyle w:val="Heading2"/>
      </w:pPr>
      <w:r>
        <w:t xml:space="preserve">Subclonal Evolution</w:t>
      </w:r>
    </w:p>
    <w:p>
      <w:pPr>
        <w:pStyle w:val="FirstParagraph"/>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End w:id="36"/>
    <w:bookmarkStart w:id="37" w:name="wet-lab-validation-pending"/>
    <w:p>
      <w:pPr>
        <w:pStyle w:val="Heading2"/>
      </w:pPr>
      <w:r>
        <w:t xml:space="preserve">Wet-Lab Validation (Pending)</w:t>
      </w:r>
    </w:p>
    <w:p>
      <w:pPr>
        <w:pStyle w:val="FirstParagraph"/>
      </w:pPr>
      <w:r>
        <w:t xml:space="preserve">Experimental validation is underway with collaborating medical school researchers. Planned experiments: (1) IFN-</w:t>
      </w:r>
      <m:oMath>
        <m:r>
          <m:t>β</m:t>
        </m:r>
      </m:oMath>
      <w:r>
        <w:t xml:space="preserve"> </w:t>
      </w:r>
      <w:r>
        <w:t xml:space="preserve">ELISA for 15 evolved circRNA sequences in HEK293 cells, (2) circRNA half-life measurement via qRT-PCR in primary TNBC cell lines (MDA-MB-231, HCC1937), (3) subtype-specific tumor response in BLIS and IM PDX models (n=6 per group). Results will be reported in a follow-up publication.</w:t>
      </w:r>
    </w:p>
    <w:bookmarkEnd w:id="37"/>
    <w:bookmarkEnd w:id="38"/>
    <w:bookmarkStart w:id="50" w:name="discussion"/>
    <w:p>
      <w:pPr>
        <w:pStyle w:val="Heading1"/>
      </w:pPr>
      <w:r>
        <w:t xml:space="preserve">Discussion</w:t>
      </w:r>
    </w:p>
    <w:bookmarkStart w:id="43"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Implemented features with preliminary correlation support:</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are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Preliminary accuracy: 12% error vs Wesselhoeft 2018 (</w:t>
      </w:r>
      <m:oMath>
        <m:r>
          <m:t>N</m:t>
        </m:r>
        <m:r>
          <m:rPr>
            <m:sty m:val="p"/>
          </m:rPr>
          <m:t>=</m:t>
        </m:r>
        <m:r>
          <m:t>4</m:t>
        </m:r>
      </m:oMath>
      <w:r>
        <w:t xml:space="preserve">), but</w:t>
      </w:r>
      <w:r>
        <w:t xml:space="preserve"> </w:t>
      </w:r>
      <m:oMath>
        <m:r>
          <m:t>N</m:t>
        </m:r>
        <m:r>
          <m:rPr>
            <m:sty m:val="p"/>
          </m:rPr>
          <m:t>=</m:t>
        </m:r>
        <m:r>
          <m:t>4</m:t>
        </m:r>
      </m:oMath>
      <w:r>
        <w:t xml:space="preserve"> </w:t>
      </w:r>
      <w:r>
        <w:t xml:space="preserve">cannot distinguish from simpler models.</w:t>
      </w:r>
    </w:p>
    <w:p>
      <w:pPr>
        <w:numPr>
          <w:ilvl w:val="0"/>
          <w:numId w:val="1004"/>
        </w:numPr>
      </w:pPr>
      <w:r>
        <w:rPr>
          <w:b/>
          <w:bCs/>
        </w:rPr>
        <w:t xml:space="preserve">Differential m6A suppression modeling.</w:t>
      </w:r>
      <w:r>
        <w:t xml:space="preserve"> </w:t>
      </w:r>
      <w:r>
        <w:t xml:space="preserve">Pathway-specific m6A suppression values (MDA5</w:t>
      </w:r>
      <w:r>
        <w:t xml:space="preserve"> </w:t>
      </w:r>
      <m:oMath>
        <m:r>
          <m:rPr>
            <m:sty m:val="p"/>
          </m:rPr>
          <m:t>∼</m:t>
        </m:r>
      </m:oMath>
      <w:r>
        <w:t xml:space="preserve">90%, TLR</w:t>
      </w:r>
      <w:r>
        <w:t xml:space="preserve"> </w:t>
      </w:r>
      <m:oMath>
        <m:r>
          <m:rPr>
            <m:sty m:val="p"/>
          </m:rPr>
          <m:t>∼</m:t>
        </m:r>
      </m:oMath>
      <w:r>
        <w:t xml:space="preserve">30%, PKR</w:t>
      </w:r>
      <w:r>
        <w:t xml:space="preserve"> </w:t>
      </w:r>
      <m:oMath>
        <m:r>
          <m:rPr>
            <m:sty m:val="p"/>
          </m:rPr>
          <m:t>∼</m:t>
        </m:r>
      </m:oMath>
      <w:r>
        <w:t xml:space="preserve">20%) are estimated parameters that correct the oversimplified</w:t>
      </w:r>
      <w:r>
        <w:t xml:space="preserve"> </w:t>
      </w:r>
      <w:r>
        <w:t xml:space="preserve">“m6A reduces immunogenicity”</w:t>
      </w:r>
      <w:r>
        <w:t xml:space="preserve"> </w:t>
      </w:r>
      <w:r>
        <w:t xml:space="preserve">assumption. Uniform m6A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These values require experimental validation.</w:t>
      </w:r>
    </w:p>
    <w:p>
      <w:pPr>
        <w:pStyle w:val="FirstParagraph"/>
      </w:pPr>
      <w:r>
        <w:rPr>
          <w:b/>
          <w:bCs/>
        </w:rPr>
        <w:t xml:space="preserve">(B) Implemented features requiring validation:</w:t>
      </w:r>
    </w:p>
    <w:p>
      <w:pPr>
        <w:numPr>
          <w:ilvl w:val="0"/>
          <w:numId w:val="1005"/>
        </w:numPr>
      </w:pPr>
      <w:r>
        <w:rPr>
          <w:b/>
          <w:bCs/>
        </w:rPr>
        <w:t xml:space="preserve">Spatial TME simulation.</w:t>
      </w:r>
      <w:r>
        <w:t xml:space="preserve"> </w:t>
      </w:r>
      <w:r>
        <w:t xml:space="preserve">Nine immune cell populations, six cytokines, PD-1/PD-L1 checkpoint dynamics, and three spatial compartments. This is an implementation of Jiang 2019 subtype stratification with spatial extension, not a validated predictive system.</w:t>
      </w:r>
    </w:p>
    <w:p>
      <w:pPr>
        <w:numPr>
          <w:ilvl w:val="0"/>
          <w:numId w:val="1005"/>
        </w:numPr>
      </w:pPr>
      <w:r>
        <w:rPr>
          <w:b/>
          <w:bCs/>
        </w:rPr>
        <w:t xml:space="preserve">Subclonal evolution with drug-induced instability.</w:t>
      </w:r>
      <w:r>
        <w:t xml:space="preserve"> </w:t>
      </w:r>
      <w:r>
        <w:t xml:space="preserve">Tumor heterogeneity tracked via Shannon diversity with drug-induced mutation rate increase. Models resistance emergence. No TCGA/METABRIC validation performed.</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 not validated biological optima.</w:t>
      </w:r>
    </w:p>
    <w:p>
      <w:pPr>
        <w:numPr>
          <w:ilvl w:val="0"/>
          <w:numId w:val="1005"/>
        </w:numPr>
      </w:pPr>
      <w:r>
        <w:rPr>
          <w:b/>
          <w:bCs/>
        </w:rPr>
        <w:t xml:space="preserve">Bio-mimetic drug architecture.</w:t>
      </w:r>
      <w:r>
        <w:t xml:space="preserve"> </w:t>
      </w:r>
      <w:r>
        <w:t xml:space="preserve">Four brain-inspired components enable patient-specific ADMET modulation and clinical feedback integration. Tissue-specific attention weights are rule-based, not learned.</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The enhancement component is hypothetical.</w:t>
      </w:r>
    </w:p>
    <w:p>
      <w:pPr>
        <w:pStyle w:val="FirstParagraph"/>
      </w:pPr>
      <w:r>
        <w:rPr>
          <w:b/>
          <w:bCs/>
        </w:rPr>
        <w:t xml:space="preserve">(C) Verified mathematical properties (biological utility unverified):</w:t>
      </w:r>
    </w:p>
    <w:p>
      <w:pPr>
        <w:numPr>
          <w:ilvl w:val="0"/>
          <w:numId w:val="1006"/>
        </w:numPr>
      </w:pPr>
      <w:r>
        <w:rPr>
          <w:b/>
          <w:bCs/>
        </w:rPr>
        <w:t xml:space="preserve">TorusFold architecture.</w:t>
      </w:r>
      <w:r>
        <w:t xml:space="preserve"> </w:t>
      </w:r>
      <w:r>
        <w:t xml:space="preserve">Mathematical formulation for circRNA’s</w:t>
      </w:r>
      <w:r>
        <w:t xml:space="preserve"> </w:t>
      </w:r>
      <m:oMath>
        <m:sSup>
          <m:e>
            <m:r>
              <m:t>S</m:t>
            </m:r>
          </m:e>
          <m:sup>
            <m:r>
              <m:t>1</m:t>
            </m:r>
          </m:sup>
        </m:sSup>
      </m:oMath>
      <w:r>
        <w:t xml:space="preserve"> </w:t>
      </w:r>
      <w:r>
        <w:t xml:space="preserve">topology: TPE periodicity (verified:</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circular distance metric, and rotation equivariance (verified). Embedding distance analysis on 30 circRNA sequences confirms TPE correlates with circular distance (</w:t>
      </w:r>
      <m:oMath>
        <m:r>
          <m:t>r</m:t>
        </m:r>
        <m:r>
          <m:rPr>
            <m:sty m:val="p"/>
          </m:rPr>
          <m:t>=</m:t>
        </m:r>
        <m:r>
          <m:t>0.882</m:t>
        </m:r>
      </m:oMath>
      <w:r>
        <w:t xml:space="preserve">) while standard PE correlates with linear distance (</w:t>
      </w:r>
      <m:oMath>
        <m:r>
          <m:t>r</m:t>
        </m:r>
        <m:r>
          <m:rPr>
            <m:sty m:val="p"/>
          </m:rPr>
          <m:t>=</m:t>
        </m:r>
        <m:r>
          <m:t>0.933</m:t>
        </m:r>
      </m:oMath>
      <w:r>
        <w:t xml:space="preserve">). Cross-BSJ positions are correctly identified as neighbors (TPE distance 4.50 vs standard PE 9.60). Parameter sensitivity shows stability: harmonics</w:t>
      </w:r>
      <w:r>
        <w:t xml:space="preserve"> </w:t>
      </w:r>
      <m:oMath>
        <m:r>
          <m:t>H</m:t>
        </m:r>
      </m:oMath>
      <w:r>
        <w:t xml:space="preserve">=8-64 vary under 7% in BSJ MSE. The pair prediction head is non-functional (</w:t>
      </w:r>
      <m:oMath>
        <m:r>
          <m:rPr>
            <m:sty m:val="p"/>
          </m:rPr>
          <m:t>∼</m:t>
        </m:r>
      </m:oMath>
      <w:r>
        <w:t xml:space="preserve">0% predictions). Without circRNA 3D structure training data, we cannot distinguish implementation bug from architectural flaw. A physics-based structure head provides zero-training 3D prediction via constraint solving as a fallback.</w:t>
      </w:r>
    </w:p>
    <w:bookmarkStart w:id="42" w:name="fig:torusfold"/>
    <w:p>
      <w:pPr>
        <w:pStyle w:val="CaptionedFigure"/>
      </w:pPr>
      <w:r>
        <w:drawing>
          <wp:inline>
            <wp:extent cx="4533900" cy="4684734"/>
            <wp:effectExtent b="0" l="0" r="0" t="0"/>
            <wp:docPr descr="" title="" id="40" name="Picture"/>
            <a:graphic>
              <a:graphicData uri="http://schemas.openxmlformats.org/drawingml/2006/picture">
                <pic:pic>
                  <pic:nvPicPr>
                    <pic:cNvPr descr="fig6_torusfold_architecture.pdf" id="41" name="Picture"/>
                    <pic:cNvPicPr>
                      <a:picLocks noChangeArrowheads="1" noChangeAspect="1"/>
                    </pic:cNvPicPr>
                  </pic:nvPicPr>
                  <pic:blipFill>
                    <a:blip r:embed="rId39"/>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mathematical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Pair prediction head non-functional pending circRNA 3D structure training data.</w:t>
      </w:r>
    </w:p>
    <w:bookmarkEnd w:id="42"/>
    <w:p>
      <w:pPr>
        <w:pStyle w:val="BodyText"/>
      </w:pPr>
      <w:r>
        <w:rPr>
          <w:b/>
          <w:bCs/>
        </w:rPr>
        <w:t xml:space="preserve">(D) Software and community infrastructure:</w:t>
      </w:r>
    </w:p>
    <w:p>
      <w:pPr>
        <w:numPr>
          <w:ilvl w:val="0"/>
          <w:numId w:val="1007"/>
        </w:numPr>
      </w:pPr>
      <w:r>
        <w:rPr>
          <w:b/>
          <w:bCs/>
        </w:rPr>
        <w:t xml:space="preserve">Integrated event-driven framework with algorithmic extensibility.</w:t>
      </w:r>
      <w:r>
        <w:t xml:space="preserve"> </w:t>
      </w:r>
      <w:r>
        <w:t xml:space="preserve">EventBus with 18+ event types couples eight subsystems. New algorithms can replace existing implementations by subscribing to the same events.</w:t>
      </w:r>
    </w:p>
    <w:p>
      <w:pPr>
        <w:numPr>
          <w:ilvl w:val="0"/>
          <w:numId w:val="1007"/>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7"/>
        </w:numPr>
      </w:pPr>
      <w:r>
        <w:rPr>
          <w:b/>
          <w:bCs/>
        </w:rPr>
        <w:t xml:space="preserve">Federated data sharing.</w:t>
      </w:r>
      <w:r>
        <w:t xml:space="preserve"> </w:t>
      </w:r>
      <w:r>
        <w:t xml:space="preserve">Confluencia Hub with ethics-gated uploads, data source declaration, dual-use screening, and SHA256 hash verification.</w:t>
      </w:r>
    </w:p>
    <w:bookmarkEnd w:id="43"/>
    <w:bookmarkStart w:id="44" w:name="integration-ecosystem"/>
    <w:p>
      <w:pPr>
        <w:pStyle w:val="Heading2"/>
      </w:pPr>
      <w:r>
        <w:t xml:space="preserve">Integration Ecosystem</w:t>
      </w:r>
    </w:p>
    <w:p>
      <w:pPr>
        <w:pStyle w:val="FirstParagraph"/>
      </w:pPr>
      <w:r>
        <w:t xml:space="preserve">The EventBus architecture enables integration beyond the core modules. The platform uses established external tools via lazy-loading bridges: (1) structure prediction uses ViennaRNA (thermodynamic) with TorusFold as theoretical extension; (2) PK simulation uses literature-derived compartment models but can swap to PK-Sim or physiologically-based PK via EventBus subscription; (3) MHC binding uses NetMHCpan (AUC</w:t>
      </w:r>
      <w:r>
        <w:t xml:space="preserve"> </w:t>
      </w:r>
      <m:oMath>
        <m:r>
          <m:rPr>
            <m:sty m:val="p"/>
          </m:rPr>
          <m:t>∼</m:t>
        </m:r>
      </m:oMath>
      <w:r>
        <w:t xml:space="preserve">0.90) for standalone screening. Confluencia’s custom modules serve integration needs rather than competing with established benchmarks. New methods can replace existing implementations by subscribing to the same events without modifying other subsystems.</w:t>
      </w:r>
    </w:p>
    <w:bookmarkEnd w:id="44"/>
    <w:bookmarkStart w:id="45" w:name="what-remains-unvalidated"/>
    <w:p>
      <w:pPr>
        <w:pStyle w:val="Heading2"/>
      </w:pPr>
      <w:r>
        <w:t xml:space="preserve">What Remains Unvalidated</w:t>
      </w:r>
    </w:p>
    <w:p>
      <w:pPr>
        <w:numPr>
          <w:ilvl w:val="0"/>
          <w:numId w:val="1008"/>
        </w:numPr>
      </w:pPr>
      <w:r>
        <w:rPr>
          <w:b/>
          <w:bCs/>
        </w:rPr>
        <w:t xml:space="preserve">TNBC simulation.</w:t>
      </w:r>
      <w:r>
        <w:t xml:space="preserve"> </w:t>
      </w:r>
      <w:r>
        <w:t xml:space="preserve">No TCGA/METABRIC validation. Parameter-swap experiment confirms circular dependency.</w:t>
      </w:r>
    </w:p>
    <w:p>
      <w:pPr>
        <w:numPr>
          <w:ilvl w:val="0"/>
          <w:numId w:val="1008"/>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8"/>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8"/>
        </w:numPr>
      </w:pPr>
      <w:r>
        <w:rPr>
          <w:b/>
          <w:bCs/>
        </w:rPr>
        <w:t xml:space="preserve">RL-ABM reward.</w:t>
      </w:r>
      <w:r>
        <w:t xml:space="preserve"> </w:t>
      </w:r>
      <w:r>
        <w:t xml:space="preserve">Optimizer converges on simulator reward surface, not validated biological optima.</w:t>
      </w:r>
    </w:p>
    <w:bookmarkEnd w:id="45"/>
    <w:bookmarkStart w:id="46" w:name="the-circrna-data-challenge"/>
    <w:p>
      <w:pPr>
        <w:pStyle w:val="Heading2"/>
      </w:pPr>
      <w:r>
        <w:t xml:space="preserve">The circRNA Data Challenge</w:t>
      </w:r>
    </w:p>
    <w:p>
      <w:pPr>
        <w:pStyle w:val="FirstParagraph"/>
      </w:pPr>
      <w:r>
        <w:t xml:space="preserve">No circRNA crystal structures or cryo-EM reconstructions exist in PDB. Fewer than two dozen circRNA structural annotations are available from literature. This is the fundamental barrier for TorusFold validation. We propose circRNA-CASP as a community mechanism, analogous to CASP for proteins. Until circRNA structure data becomes available, TorusFold remains a theoretical proposal with verified mathematical properties but unverified biological utility.</w:t>
      </w:r>
    </w:p>
    <w:bookmarkEnd w:id="46"/>
    <w:bookmarkStart w:id="48" w:name="power-analysis"/>
    <w:p>
      <w:pPr>
        <w:pStyle w:val="Heading2"/>
      </w:pPr>
      <w:r>
        <w:t xml:space="preserve">Power Analysis</w:t>
      </w:r>
    </w:p>
    <w:p>
      <w:pPr>
        <w:pStyle w:val="FirstParagraph"/>
      </w:pPr>
      <w:r>
        <w:t xml:space="preserve">Current sample sizes are insufficient for definitive validation. Required sample sizes for key benchmarks:</w:t>
      </w:r>
    </w:p>
    <w:bookmarkStart w:id="47"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7"/>
    <w:bookmarkEnd w:id="48"/>
    <w:bookmarkStart w:id="49"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9"/>
    <w:bookmarkEnd w:id="50"/>
    <w:bookmarkStart w:id="51" w:name="limitations"/>
    <w:p>
      <w:pPr>
        <w:pStyle w:val="Heading1"/>
      </w:pPr>
      <w:r>
        <w:t xml:space="preserve">Limitations</w:t>
      </w:r>
    </w:p>
    <w:p>
      <w:pPr>
        <w:pStyle w:val="FirstParagraph"/>
      </w:pPr>
      <w:r>
        <w:rPr>
          <w:b/>
          <w:bCs/>
        </w:rPr>
        <w:t xml:space="preserve">TNBC.</w:t>
      </w:r>
      <w:r>
        <w:t xml:space="preserve"> </w:t>
      </w:r>
      <w:r>
        <w:t xml:space="preserve">ODE dynamics without stochastic effects; no TCGA/METABRIC validation; parameter-swap experiment confirms circular dependency; spatial TME model assumes fixed compartment boundaries; Shannon diversity discretizes continuous heterogeneity.</w:t>
      </w:r>
    </w:p>
    <w:p>
      <w:pPr>
        <w:pStyle w:val="BodyText"/>
      </w:pPr>
      <w:r>
        <w:rPr>
          <w:b/>
          <w:bCs/>
        </w:rPr>
        <w:t xml:space="preserve">Immunogenicity.</w:t>
      </w:r>
      <w:r>
        <w:t xml:space="preserve"> </w:t>
      </w:r>
      <w:r>
        <w:t xml:space="preserve">Pathway weights uncalibrated; 20% rank inversion under weight variation;</w:t>
      </w:r>
      <w:r>
        <w:t xml:space="preserve"> </w:t>
      </w:r>
      <m:oMath>
        <m:r>
          <m:t>N</m:t>
        </m:r>
        <m:r>
          <m:rPr>
            <m:sty m:val="p"/>
          </m:rPr>
          <m:t>=</m:t>
        </m:r>
        <m:r>
          <m:t>7</m:t>
        </m:r>
      </m:oMath>
      <w:r>
        <w:t xml:space="preserve"> </w:t>
      </w:r>
      <w:r>
        <w:t xml:space="preserve">primary benchmark fragile (power</w:t>
      </w:r>
      <w:r>
        <w:t xml:space="preserve"> </w:t>
      </w:r>
      <m:oMath>
        <m:r>
          <m:rPr>
            <m:sty m:val="p"/>
          </m:rPr>
          <m:t>≈</m:t>
        </m:r>
      </m:oMath>
      <w:r>
        <w:t xml:space="preserve">0.35);</w:t>
      </w:r>
      <w:r>
        <w:t xml:space="preserve"> </w:t>
      </w:r>
      <m:oMath>
        <m:r>
          <m:t>N</m:t>
        </m:r>
        <m:r>
          <m:rPr>
            <m:sty m:val="p"/>
          </m:rPr>
          <m:t>=</m:t>
        </m:r>
        <m:r>
          <m:t>15</m:t>
        </m:r>
      </m:oMath>
      <w:r>
        <w:t xml:space="preserve"> </w:t>
      </w:r>
      <w:r>
        <w:t xml:space="preserve">HEK293 CI too wide to claim validation (width 0.62); GC confound partially resolved (partial</w:t>
      </w:r>
      <w:r>
        <w:t xml:space="preserve"> </w:t>
      </w:r>
      <m:oMath>
        <m:r>
          <m:t>r</m:t>
        </m:r>
        <m:r>
          <m:rPr>
            <m:sty m:val="p"/>
          </m:rPr>
          <m:t>=</m:t>
        </m:r>
        <m:r>
          <m:t>0.42</m:t>
        </m:r>
      </m:oMath>
      <w:r>
        <w:t xml:space="preserve">); m6A suppression values (90%/30%/20%) are estimated, not measured; sensitivity analysis shows 2/15 rank changes under</w:t>
      </w:r>
      <w:r>
        <w:t xml:space="preserve"> </w:t>
      </w:r>
      <m:oMath>
        <m:r>
          <m:rPr>
            <m:sty m:val="p"/>
          </m:rPr>
          <m:t>±</m:t>
        </m:r>
      </m:oMath>
      <w:r>
        <w:t xml:space="preserve">50% variation; TLR circularity correction factor (0.70) is heuristic; bidirectional m6A enhancement_weight is hypothetical; model assumes highly purified circRNA and does not account for production method effects that Chen 2019 showed are critical.</w:t>
      </w:r>
    </w:p>
    <w:p>
      <w:pPr>
        <w:pStyle w:val="BodyText"/>
      </w:pPr>
      <w:r>
        <w:rPr>
          <w:b/>
          <w:bCs/>
        </w:rPr>
        <w:t xml:space="preserve">PK.</w:t>
      </w:r>
      <w:r>
        <w:t xml:space="preserve"> </w:t>
      </w:r>
      <w:r>
        <w:t xml:space="preserve">Literature priors only, not fitted to time-course data;</w:t>
      </w:r>
      <w:r>
        <w:t xml:space="preserve"> </w:t>
      </w:r>
      <m:oMath>
        <m:r>
          <m:t>N</m:t>
        </m:r>
        <m:r>
          <m:rPr>
            <m:sty m:val="p"/>
          </m:rPr>
          <m:t>=</m:t>
        </m:r>
        <m:r>
          <m:t>4</m:t>
        </m:r>
      </m:oMath>
      <w:r>
        <w:t xml:space="preserve"> </w:t>
      </w:r>
      <w:r>
        <w:t xml:space="preserve">validation cannot distinguish six-compartment from simpler models (</w:t>
      </w:r>
      <m:oMath>
        <m:r>
          <m:rPr>
            <m:sty m:val="p"/>
          </m:rPr>
          <m:t>Δ</m:t>
        </m:r>
      </m:oMath>
      <w:r>
        <w:t xml:space="preserve">AIC=4.5 not significant at</w:t>
      </w:r>
      <w:r>
        <w:t xml:space="preserve"> </w:t>
      </w:r>
      <m:oMath>
        <m:r>
          <m:t>N</m:t>
        </m:r>
        <m:r>
          <m:rPr>
            <m:sty m:val="p"/>
          </m:rPr>
          <m:t>=</m:t>
        </m:r>
        <m:r>
          <m:t>4</m:t>
        </m:r>
      </m:oMath>
      <w:r>
        <w:t xml:space="preserve">); no patient-specific PK;</w:t>
      </w:r>
      <w:r>
        <w:t xml:space="preserve"> </w:t>
      </w:r>
      <m:oMath>
        <m:sSub>
          <m:e>
            <m:r>
              <m:t>k</m:t>
            </m:r>
          </m:e>
          <m:sub>
            <m:r>
              <m:t>e</m:t>
            </m:r>
            <m:r>
              <m:t>c</m:t>
            </m:r>
          </m:sub>
        </m:sSub>
      </m:oMath>
      <w:r>
        <w:t xml:space="preserve"> </w:t>
      </w:r>
      <w:r>
        <w:t xml:space="preserve">derivation from stochastic efficiency to first-order kinetics is approximate; modification effect on</w:t>
      </w:r>
      <w:r>
        <w:t xml:space="preserve"> </w:t>
      </w:r>
      <m:oMath>
        <m:sSub>
          <m:e>
            <m:r>
              <m:t>k</m:t>
            </m:r>
          </m:e>
          <m:sub>
            <m:r>
              <m:t>c</m:t>
            </m:r>
            <m:r>
              <m:t>d</m:t>
            </m:r>
          </m:sub>
        </m:sSub>
      </m:oMath>
      <w:r>
        <w:t xml:space="preserve"> </w:t>
      </w:r>
      <w:r>
        <w:t xml:space="preserve">is a linear multiplier.</w:t>
      </w:r>
    </w:p>
    <w:p>
      <w:pPr>
        <w:pStyle w:val="BodyText"/>
      </w:pPr>
      <w:r>
        <w:rPr>
          <w:b/>
          <w:bCs/>
        </w:rPr>
        <w:t xml:space="preserve">TorusFold.</w:t>
      </w:r>
      <w:r>
        <w:t xml:space="preserve"> </w:t>
      </w:r>
      <w:r>
        <w:t xml:space="preserve">Non-functional pair head (</w:t>
      </w:r>
      <m:oMath>
        <m:r>
          <m:rPr>
            <m:sty m:val="p"/>
          </m:rPr>
          <m:t>∼</m:t>
        </m:r>
      </m:oMath>
      <w:r>
        <w:t xml:space="preserve">0% predictions); no circRNA 3D structure training data; cannot distinguish bug from architectural flaw; additive pair initialization may contribute to failure;</w:t>
      </w:r>
      <w:r>
        <w:t xml:space="preserve"> </w:t>
      </w:r>
      <m:oMath>
        <m:r>
          <m:t>H</m:t>
        </m:r>
        <m:r>
          <m:rPr>
            <m:sty m:val="p"/>
          </m:rPr>
          <m:t>=</m:t>
        </m:r>
        <m:r>
          <m:t>16</m:t>
        </m:r>
      </m:oMath>
      <w:r>
        <w:t xml:space="preserve"> </w:t>
      </w:r>
      <w:r>
        <w:t xml:space="preserve">harmonics choice validated via sensitivity analysis (&lt;7% MSE variation across H=8-64).</w:t>
      </w:r>
    </w:p>
    <w:p>
      <w:pPr>
        <w:pStyle w:val="BodyText"/>
      </w:pPr>
      <w:r>
        <w:rPr>
          <w:b/>
          <w:bCs/>
        </w:rPr>
        <w:t xml:space="preserve">Evolution.</w:t>
      </w:r>
      <w:r>
        <w:t xml:space="preserve"> </w:t>
      </w:r>
      <w:r>
        <w:t xml:space="preserve">REINFORCE optimizes heuristic landscape, not validated biological optima; 500 episodes with convergence at 350-450 across seeds; reward weights (0.35/0.30/0.20/0.15) are heuristic; Bliss-CI discrepancy matrix is descriptive, not prescriptive.</w:t>
      </w:r>
    </w:p>
    <w:p>
      <w:pPr>
        <w:pStyle w:val="BodyText"/>
      </w:pPr>
      <w:r>
        <w:rPr>
          <w:b/>
          <w:bCs/>
        </w:rPr>
        <w:t xml:space="preserve">All claims are hypothesis-generation.</w:t>
      </w:r>
      <w:r>
        <w:t xml:space="preserve"> </w:t>
      </w:r>
      <w:r>
        <w:t xml:space="preserve">Simulated outcomes validate internal consistency, not external predictions. Wet-lab validation ongoing.</w:t>
      </w:r>
    </w:p>
    <w:bookmarkEnd w:id="51"/>
    <w:bookmarkStart w:id="52"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52"/>
    <w:bookmarkStart w:id="53"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9"/>
        </w:numPr>
      </w:pPr>
      <w:r>
        <w:rPr>
          <w:b/>
          <w:bCs/>
        </w:rPr>
        <w:t xml:space="preserve">Python API:</w:t>
      </w:r>
      <w:r>
        <w:t xml:space="preserve"> </w:t>
      </w:r>
      <w:r>
        <w:rPr>
          <w:rStyle w:val="VerbatimChar"/>
        </w:rPr>
        <w:t xml:space="preserve">import confluencia_3_0; confluencia_3_0.simulate(config)</w:t>
      </w:r>
    </w:p>
    <w:p>
      <w:pPr>
        <w:numPr>
          <w:ilvl w:val="0"/>
          <w:numId w:val="1009"/>
        </w:numPr>
      </w:pP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p>
    <w:p>
      <w:pPr>
        <w:numPr>
          <w:ilvl w:val="0"/>
          <w:numId w:val="1009"/>
        </w:numPr>
      </w:pPr>
      <w:r>
        <w:rPr>
          <w:b/>
          <w:bCs/>
        </w:rPr>
        <w:t xml:space="preserve">CLI:</w:t>
      </w:r>
      <w:r>
        <w:t xml:space="preserve"> </w:t>
      </w:r>
      <w:r>
        <w:rPr>
          <w:rStyle w:val="VerbatimChar"/>
        </w:rPr>
        <w:t xml:space="preserve">confluencia simulate --subtype IM --steps 100</w:t>
      </w:r>
    </w:p>
    <w:p>
      <w:pPr>
        <w:numPr>
          <w:ilvl w:val="0"/>
          <w:numId w:val="1009"/>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9"/>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53"/>
    <w:bookmarkStart w:id="54"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9">
    <w:nsid w:val="00A99209"/>
    <w:multiLevelType w:val="multilevel"/>
    <w:lvl w:ilvl="0">
      <w:start w:val="9"/>
      <w:numFmt w:val="decimal"/>
      <w:lvlText w:val="%1."/>
      <w:lvlJc w:val="left"/>
      <w:pPr>
        <w:ind w:left="720" w:hanging="360"/>
      </w:pPr>
    </w:lvl>
    <w:lvl w:ilvl="1">
      <w:start w:val="9"/>
      <w:numFmt w:val="lowerLetter"/>
      <w:lvlText w:val="%2."/>
      <w:lvlJc w:val="left"/>
      <w:pPr>
        <w:ind w:left="1440" w:hanging="360"/>
      </w:pPr>
    </w:lvl>
    <w:lvl w:ilvl="2">
      <w:start w:val="9"/>
      <w:numFmt w:val="lowerRoman"/>
      <w:lvlText w:val="%3."/>
      <w:lvlJc w:val="left"/>
      <w:pPr>
        <w:ind w:left="2160" w:hanging="360"/>
      </w:pPr>
    </w:lvl>
    <w:lvl w:ilvl="3">
      <w:start w:val="9"/>
      <w:numFmt w:val="decimal"/>
      <w:lvlText w:val="%4."/>
      <w:lvlJc w:val="left"/>
      <w:pPr>
        <w:ind w:left="2880" w:hanging="360"/>
      </w:pPr>
    </w:lvl>
    <w:lvl w:ilvl="4">
      <w:start w:val="9"/>
      <w:numFmt w:val="lowerLetter"/>
      <w:lvlText w:val="%5."/>
      <w:lvlJc w:val="left"/>
      <w:pPr>
        <w:ind w:left="3600" w:hanging="360"/>
      </w:pPr>
    </w:lvl>
    <w:lvl w:ilvl="5">
      <w:start w:val="9"/>
      <w:numFmt w:val="lowerRoman"/>
      <w:lvlText w:val="%6."/>
      <w:lvlJc w:val="left"/>
      <w:pPr>
        <w:ind w:left="4320" w:hanging="360"/>
      </w:pPr>
    </w:lvl>
    <w:lvl w:ilvl="6">
      <w:start w:val="9"/>
      <w:numFmt w:val="decimal"/>
      <w:lvlText w:val="%7."/>
      <w:lvlJc w:val="left"/>
      <w:pPr>
        <w:ind w:left="5040" w:hanging="360"/>
      </w:pPr>
    </w:lvl>
    <w:lvl w:ilvl="7">
      <w:start w:val="9"/>
      <w:numFmt w:val="lowerLetter"/>
      <w:lvlText w:val="%8."/>
      <w:lvlJc w:val="left"/>
      <w:pPr>
        <w:ind w:left="5760" w:hanging="360"/>
      </w:pPr>
    </w:lvl>
    <w:lvl w:ilvl="8">
      <w:start w:val="9"/>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df" /><Relationship Type="http://schemas.openxmlformats.org/officeDocument/2006/relationships/image" Id="rId23" Target="media/rId23.pdf" /><Relationship Type="http://schemas.openxmlformats.org/officeDocument/2006/relationships/image" Id="rId39" Target="media/rId3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2026-06-19T06:21:20Z</dcterms:created>
  <dcterms:modified xsi:type="dcterms:W3CDTF">2026-06-19T06:21:20Z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