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Override PartName="/word/media/rId19.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Circular RNA (circRNA) has a closed loop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treat them as different. Confluencia 3.0 is the first platform built for circRNA vaccine design that handles this</w:t>
      </w:r>
      <w:r>
        <w:t xml:space="preserve"> </w:t>
      </w:r>
      <m:oMath>
        <m:sSup>
          <m:e>
            <m:r>
              <m:t>S</m:t>
            </m:r>
          </m:e>
          <m:sup>
            <m:r>
              <m:t>1</m:t>
            </m:r>
          </m:sup>
        </m:sSup>
      </m:oMath>
      <w:r>
        <w:t xml:space="preserve"> </w:t>
      </w:r>
      <w:r>
        <w:t xml:space="preserve">topology. TorusFold uses Torus Positional Encoding (TPE) with guaranteed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On 30 circRNA sequences, TPE embedding distances correlate with circular distance (</w:t>
      </w:r>
      <m:oMath>
        <m:r>
          <m:t>r</m:t>
        </m:r>
        <m:r>
          <m:rPr>
            <m:sty m:val="p"/>
          </m:rPr>
          <m:t>=</m:t>
        </m:r>
        <m:r>
          <m:t>0.882</m:t>
        </m:r>
      </m:oMath>
      <w:r>
        <w:t xml:space="preserve">) while standard PE correlates with linear distance (</w:t>
      </w:r>
      <m:oMath>
        <m:r>
          <m:t>r</m:t>
        </m:r>
        <m:r>
          <m:rPr>
            <m:sty m:val="p"/>
          </m:rPr>
          <m:t>=</m:t>
        </m:r>
        <m:r>
          <m:t>0.933</m:t>
        </m:r>
      </m:oMath>
      <w:r>
        <w:t xml:space="preserve">). Cross-BSJ positions are correctly identified as neighbors (TPE distance 4.50 vs standard PE 9.60). The platform integrates CirculaPK (six-compartment PK capturing 1-4% endosomal escape, 12% error vs literature), pathway-resolved immunogenicity (</w:t>
      </w:r>
      <m:oMath>
        <m:r>
          <m:t>r</m:t>
        </m:r>
        <m:r>
          <m:rPr>
            <m:sty m:val="p"/>
          </m:rPr>
          <m:t>=</m:t>
        </m:r>
        <m:r>
          <m:t>0.91</m:t>
        </m:r>
      </m:oMath>
      <w:r>
        <w:t xml:space="preserve"> </w:t>
      </w:r>
      <w:r>
        <w:t xml:space="preserve">with Chen 2019), and Confluencia Hub for federated sharing. TNBC simulation demonstrates application. We propose circRNA-CASP for community validation. Code: github.com/RomanCohort/confluencia (MIT).</w:t>
      </w:r>
    </w:p>
    <w:bookmarkEnd w:id="9"/>
    <w:bookmarkStart w:id="10" w:name="introduction"/>
    <w:p>
      <w:pPr>
        <w:pStyle w:val="Heading1"/>
      </w:pPr>
      <w:r>
        <w:t xml:space="preserve">Introduction</w:t>
      </w:r>
    </w:p>
    <w:p>
      <w:pPr>
        <w:pStyle w:val="FirstParagraph"/>
      </w:pPr>
      <w:r>
        <w:t xml:space="preserve">Circular RNA (circRNA) has advantages for vaccine and therapeutic use. The back-splice junction (BSJ) covalently links 3’ and 5’ ends, blocking exonuclease degradation. Wesselhoeft et al.</w:t>
      </w:r>
      <w:r>
        <w:t xml:space="preserve"> </w:t>
      </w:r>
      <w:r>
        <w:t xml:space="preserve"> </w:t>
      </w:r>
      <w:r>
        <w:t xml:space="preserve">measured circRNA half-lives of 8-24 hours versus linear mRNA’s 2-4 hours. But computational tools for circRNA lag behind the biology.</w:t>
      </w:r>
    </w:p>
    <w:p>
      <w:pPr>
        <w:pStyle w:val="BodyText"/>
      </w:pPr>
      <w:r>
        <w:t xml:space="preserve">Three gaps persist. First, pharmacokinetics: circRNA follows exonuclease-resistant pathways and LNP delivery creates a bottleneck at 1-4% endosomal escape</w:t>
      </w:r>
      <w:r>
        <w:t xml:space="preserve"> </w:t>
      </w:r>
      <w:r>
        <w:t xml:space="preserve">. Standard PK models assume linear RNA degradation. Second, immunogenicity: circRNAs lack 5’ termini, so RIG-I 5’-ppp sensing does not apply</w:t>
      </w:r>
      <w:r>
        <w:t xml:space="preserve"> </w:t>
      </w:r>
      <w:r>
        <w:t xml:space="preserve">. Immune activation comes from dsRNA backbone structures sensed by MDA5</w:t>
      </w:r>
      <w:r>
        <w:t xml:space="preserve"> </w:t>
      </w:r>
      <w:r>
        <w:t xml:space="preserve">. Existing predictors assume linear RNA sensing. Third, structure prediction: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assign them different values, breaking periodicity at the BSJ.</w:t>
      </w:r>
    </w:p>
    <w:p>
      <w:pPr>
        <w:pStyle w:val="BodyText"/>
      </w:pPr>
      <w:r>
        <w:t xml:space="preserve">Current tools address these gaps separately. ViennaRNA predicts secondary structure in circ mode. PK-Sim models pharmacokinetics but lacks circRNA compartments. PhysiCell simulates tumor dynamics but requires manual integration. No unified framework exists.</w:t>
      </w:r>
    </w:p>
    <w:p>
      <w:pPr>
        <w:pStyle w:val="BodyText"/>
      </w:pPr>
      <w:r>
        <w:t xml:space="preserve">We present Confluencia 3.0, an integrated platform built for circRNA’s circular topology. TorusFold provides the first neural architecture for</w:t>
      </w:r>
      <w:r>
        <w:t xml:space="preserve"> </w:t>
      </w:r>
      <m:oMath>
        <m:sSup>
          <m:e>
            <m:r>
              <m:t>S</m:t>
            </m:r>
          </m:e>
          <m:sup>
            <m:r>
              <m:t>1</m:t>
            </m:r>
          </m:sup>
        </m:sSup>
      </m:oMath>
      <w:r>
        <w:t xml:space="preserve"> </w:t>
      </w:r>
      <w:r>
        <w:t xml:space="preserve">topology, with Torus Positional Encoding guaranteeing periodicity and showing empirical advantage in embedding distance analysis. CirculaPK captures endosomal escape. Pathway-resolved immunogenicity scoring distinguishes circRNA sensing from linear RNA assumptions. Confluencia Hub enables federated sharing to address the field’s data scarcity. TNBC subtype-specific vaccine design demonstrates application. The platform is available now (github.com/RomanCohort/confluencia, MIT license) with five interfaces for diverse users.</w:t>
      </w:r>
    </w:p>
    <w:bookmarkEnd w:id="10"/>
    <w:bookmarkStart w:id="26" w:name="methods"/>
    <w:p>
      <w:pPr>
        <w:pStyle w:val="Heading1"/>
      </w:pPr>
      <w:r>
        <w:t xml:space="preserve">Methods</w:t>
      </w:r>
    </w:p>
    <w:bookmarkStart w:id="16" w:name="module-1-tnbc-simulacrum"/>
    <w:p>
      <w:pPr>
        <w:pStyle w:val="Heading2"/>
      </w:pPr>
      <w:r>
        <w:t xml:space="preserve">Module 1: TNBC Simulacrum</w:t>
      </w:r>
    </w:p>
    <w:p>
      <w:pPr>
        <w:pStyle w:val="FirstParagraph"/>
      </w:pPr>
      <w:r>
        <w:t xml:space="preserve">(Latin for</w:t>
      </w:r>
      <w:r>
        <w:t xml:space="preserve"> </w:t>
      </w:r>
      <w:r>
        <w:t xml:space="preserve">‘likeness’</w:t>
      </w:r>
      <w:r>
        <w:t xml:space="preserve">: distinguishing literature-parameterized simulation from predictive digital twinning.)</w:t>
      </w:r>
    </w:p>
    <w:p>
      <w:pPr>
        <w:pStyle w:val="BodyText"/>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reflect input assumptions. IM has higher TIL (0.50-0.70) than BLIS (0.08-0.15); IM responds better to immunotherapy because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4" w:name="fig:tnbc_simulation"/>
    <w:p>
      <w:pPr>
        <w:pStyle w:val="CaptionedFigure"/>
      </w:pPr>
      <w:r>
        <w:drawing>
          <wp:inline>
            <wp:extent cx="4533900" cy="4140840"/>
            <wp:effectExtent b="0" l="0" r="0" t="0"/>
            <wp:docPr descr="" title="" id="12" name="Picture"/>
            <a:graphic>
              <a:graphicData uri="http://schemas.openxmlformats.org/drawingml/2006/picture">
                <pic:pic>
                  <pic:nvPicPr>
                    <pic:cNvPr descr="fig3_tnbc_simulation.pdf" id="13" name="Picture"/>
                    <pic:cNvPicPr>
                      <a:picLocks noChangeArrowheads="1" noChangeAspect="1"/>
                    </pic:cNvPicPr>
                  </pic:nvPicPr>
                  <pic:blipFill>
                    <a:blip r:embed="rId11"/>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4"/>
    <w:p>
      <w:pPr>
        <w:pStyle w:val="BodyText"/>
      </w:pPr>
      <w:r>
        <w:rPr>
          <w:b/>
          <w:bCs/>
        </w:rPr>
        <w:t xml:space="preserve">Subclonal Evolution.</w:t>
      </w:r>
      <w:r>
        <w:t xml:space="preserve"> </w:t>
      </w:r>
      <w:r>
        <w:t xml:space="preserve">Tumor heterogeneity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This discrete approximation simplifies continuous tumor heterogeneity. Drug pressure induces genomic instability: mutation rate increases from 1%/step to 50%/step under treatment, modeling accelerated mutagenesis under chemotherapy</w:t>
      </w:r>
      <w:r>
        <w:t xml:space="preserve"> </w:t>
      </w:r>
      <w:r>
        <w:t xml:space="preserve">. Resistant clones gain selection advantage proportional to drug concentration. Epigenetic adaptation occurs at 2%/step. EventBus emits DRUG_RESISTANCE_EMERGED when Shannon diversity exceeds threshold.</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5"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5"/>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Bio-Mimetic Drug Architecture.</w:t>
      </w:r>
      <w:r>
        <w:t xml:space="preserve"> </w:t>
      </w:r>
      <w:r>
        <w:t xml:space="preserve">The drug ADMET prediction incorporates four brain-inspired components: (1) Topology Pharmacophore Network, representing molecules as scale-free graphs of pharmacophore nodes (HBD, HBA, hydrophobic, aromatic) with degree centrality features; (2) Tissue-Specific Dynamic Attention, generating patient-specific gating weights based on physiological state (liver function, kidney function, inflammation, pH); (3) Adversarial Synaptic Pruning, combining Pareto optimization with competitive selection to eliminate poor molecule candidates; (4) Neuroplastic Closed-Loop, adjusting model structure when clinical feedback indicates prediction error</w:t>
      </w:r>
      <w:r>
        <w:t xml:space="preserve"> </w:t>
      </w:r>
      <m:oMath>
        <m:r>
          <m:rPr>
            <m:sty m:val="p"/>
          </m:rPr>
          <m:t>&gt;</m:t>
        </m:r>
        <m:r>
          <m:t>0.3</m:t>
        </m:r>
      </m:oMath>
      <w:r>
        <w:t xml:space="preserve">, implementing three-tier adaptation: fine-tuning (small errors), weight reconfiguration (moderate), structural plasticity (large errors). This architecture enables tissue-specific ADMET modulation and clinical feedback integration without retraining.</w:t>
      </w:r>
    </w:p>
    <w:bookmarkEnd w:id="16"/>
    <w:bookmarkStart w:id="17" w:name="module-2-circulapk-pharmacokinetics"/>
    <w:p>
      <w:pPr>
        <w:pStyle w:val="Heading2"/>
      </w:pPr>
      <w:r>
        <w:t xml:space="preserve">Module 2: CirculaPK Pharmacokinetics</w:t>
      </w:r>
    </w:p>
    <w:p>
      <w:pPr>
        <w:pStyle w:val="FirstParagraph"/>
      </w:pPr>
      <w:r>
        <w:t xml:space="preserve">(Circular RNA-specific pharmacokinetics: the suffix</w:t>
      </w:r>
      <w:r>
        <w:t xml:space="preserve"> </w:t>
      </w:r>
      <w:r>
        <w:t xml:space="preserve">‘a’</w:t>
      </w:r>
      <w:r>
        <w:t xml:space="preserve"> </w:t>
      </w:r>
      <w:r>
        <w:t xml:space="preserve">denotes</w:t>
      </w:r>
      <w:r>
        <w:t xml:space="preserve"> </w:t>
      </w:r>
      <w:r>
        <w:t xml:space="preserve">‘adapted for circular topology’</w:t>
      </w:r>
      <w:r>
        <w:t xml:space="preserve">, capturing endosomal escape, tissue-specific biodistribution, and exonuclease-resistant degradation.)</w:t>
      </w:r>
    </w:p>
    <w:p>
      <w:pPr>
        <w:pStyle w:val="BodyText"/>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7"/>
    <w:bookmarkStart w:id="24"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distinguishes circRNA from linear RNA innate immune activation.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18"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18"/>
    <w:bookmarkStart w:id="22" w:name="fig:immunogenicity"/>
    <w:p>
      <w:pPr>
        <w:pStyle w:val="CaptionedFigure"/>
      </w:pPr>
      <w:r>
        <w:drawing>
          <wp:inline>
            <wp:extent cx="4533900" cy="2184681"/>
            <wp:effectExtent b="0" l="0" r="0" t="0"/>
            <wp:docPr descr="" title="" id="20" name="Picture"/>
            <a:graphic>
              <a:graphicData uri="http://schemas.openxmlformats.org/drawingml/2006/picture">
                <pic:pic>
                  <pic:nvPicPr>
                    <pic:cNvPr descr="fig5_immunogenicity_correlation.pdf" id="21" name="Picture"/>
                    <pic:cNvPicPr>
                      <a:picLocks noChangeArrowheads="1" noChangeAspect="1"/>
                    </pic:cNvPicPr>
                  </pic:nvPicPr>
                  <pic:blipFill>
                    <a:blip r:embed="rId19"/>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p>
    <w:bookmarkEnd w:id="22"/>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(Estimated Parameters).</w:t>
      </w:r>
      <w:r>
        <w:t xml:space="preserve"> </w:t>
      </w:r>
      <w:r>
        <w:t xml:space="preserve">m6A modification suppresses immune activation with pathway-specific intensity. These values are estimated from mechanistic reasoning, not directly measured in circRNA systems:</w:t>
      </w:r>
    </w:p>
    <w:bookmarkStart w:id="23"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3"/>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require experimental validation. Sensitivity analysis (</w:t>
      </w:r>
      <m:oMath>
        <m:r>
          <m:rPr>
            <m:sty m:val="p"/>
          </m:rPr>
          <m:t>±</m:t>
        </m:r>
      </m:oMath>
      <w:r>
        <w:t xml:space="preserve">50% variation on suppression values) changes immunogenicity rank order for 2/15 test sequences, indicating moderate robustness to these parameter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A simple GC-only baseline model achieves Spearman</w:t>
      </w:r>
      <w:r>
        <w:t xml:space="preserve"> </w:t>
      </w:r>
      <m:oMath>
        <m:r>
          <m:t>r</m:t>
        </m:r>
        <m:r>
          <m:rPr>
            <m:sty m:val="p"/>
          </m:rPr>
          <m:t>=</m:t>
        </m:r>
        <m:r>
          <m:t>0.79</m:t>
        </m:r>
      </m:oMath>
      <w:r>
        <w:t xml:space="preserve"> </w:t>
      </w:r>
      <w:r>
        <w:t xml:space="preserve">(</w:t>
      </w:r>
      <m:oMath>
        <m:r>
          <m:t>N</m:t>
        </m:r>
        <m:r>
          <m:rPr>
            <m:sty m:val="p"/>
          </m:rPr>
          <m:t>=</m:t>
        </m:r>
        <m:r>
          <m:t>50</m:t>
        </m:r>
      </m:oMath>
      <w:r>
        <w:t xml:space="preserve">) with IFN-</w:t>
      </w:r>
      <m:oMath>
        <m:r>
          <m:t>β</m:t>
        </m:r>
      </m:oMath>
      <w:r>
        <w:t xml:space="preserve">; the pathway decomposition model achieves</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 </w:t>
      </w:r>
      <w:r>
        <w:t xml:space="preserve">relative to GC-only model), indicating pathway scoring provides statistically significant improvement over GC content alone (likelihood ratio test,</w:t>
      </w:r>
      <w:r>
        <w:t xml:space="preserve"> </w:t>
      </w:r>
      <m:oMath>
        <m:r>
          <m:t>p</m:t>
        </m:r>
        <m:r>
          <m:rPr>
            <m:sty m:val="p"/>
          </m:rPr>
          <m:t>=</m:t>
        </m:r>
        <m:r>
          <m:t>0.004</m:t>
        </m:r>
      </m:oMath>
      <w:r>
        <w:t xml:space="preserve">). The differential m6A suppression model contributes to this improvement: uniform m6A suppression reduces partial correlation to</w:t>
      </w:r>
      <w:r>
        <w:t xml:space="preserve"> </w:t>
      </w:r>
      <m:oMath>
        <m:r>
          <m:t>r</m:t>
        </m:r>
        <m:r>
          <m:rPr>
            <m:sty m:val="p"/>
          </m:rPr>
          <m:t>=</m:t>
        </m:r>
        <m:r>
          <m:t>0.31</m:t>
        </m:r>
      </m:oMath>
      <w:r>
        <w:t xml:space="preserve"> </w:t>
      </w:r>
      <w:r>
        <w:t xml:space="preserve">(</w:t>
      </w:r>
      <m:oMath>
        <m:r>
          <m:t>p</m:t>
        </m:r>
        <m:r>
          <m:rPr>
            <m:sty m:val="p"/>
          </m:rPr>
          <m:t>=</m:t>
        </m:r>
        <m:r>
          <m:t>0.08</m:t>
        </m:r>
      </m:oMath>
      <w:r>
        <w:t xml:space="preserve">), suggesting pathway-resolved m6A modeling provides non-redundant information.</w:t>
      </w:r>
    </w:p>
    <w:bookmarkEnd w:id="24"/>
    <w:bookmarkStart w:id="25"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5"/>
    <w:bookmarkEnd w:id="26"/>
    <w:bookmarkStart w:id="32" w:name="results"/>
    <w:p>
      <w:pPr>
        <w:pStyle w:val="Heading1"/>
      </w:pPr>
      <w:r>
        <w:t xml:space="preserve">Results</w:t>
      </w:r>
    </w:p>
    <w:bookmarkStart w:id="28" w:name="torusfold-circular-topology-validation"/>
    <w:p>
      <w:pPr>
        <w:pStyle w:val="Heading2"/>
      </w:pPr>
      <w:r>
        <w:t xml:space="preserve">TorusFold Circular Topology Validation</w:t>
      </w:r>
    </w:p>
    <w:p>
      <w:pPr>
        <w:pStyle w:val="FirstParagraph"/>
      </w:pPr>
      <w:r>
        <w:t xml:space="preserve">(Torus for</w:t>
      </w:r>
      <w:r>
        <w:t xml:space="preserve"> </w:t>
      </w:r>
      <m:oMath>
        <m:sSup>
          <m:e>
            <m:r>
              <m:t>S</m:t>
            </m:r>
          </m:e>
          <m:sup>
            <m:r>
              <m:t>1</m:t>
            </m:r>
          </m:sup>
        </m:sSup>
      </m:oMath>
      <w:r>
        <w:t xml:space="preserve"> </w:t>
      </w:r>
      <w:r>
        <w:t xml:space="preserve">topology, Fold for structure prediction: positional encoding guarantees periodicity across the back-splice junction.)</w:t>
      </w:r>
    </w:p>
    <w:p>
      <w:pPr>
        <w:pStyle w:val="BodyText"/>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Standard PE correlates with linear distance (</w:t>
      </w:r>
      <m:oMath>
        <m:r>
          <m:t>r</m:t>
        </m:r>
        <m:r>
          <m:rPr>
            <m:sty m:val="p"/>
          </m:rPr>
          <m:t>=</m:t>
        </m:r>
        <m:r>
          <m:t>0.933</m:t>
        </m:r>
      </m:oMath>
      <w:r>
        <w:t xml:space="preserve">). For positions that are neighbors on the circle but far apart linearly (across the BSJ), TPE assigns average embedding distance 4.50. Standard PE assigns 9.60. TPE correctly identifies BSJ-crossing positions as neighbors.</w:t>
      </w:r>
    </w:p>
    <w:bookmarkStart w:id="27"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27"/>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w:t>
      </w:r>
    </w:p>
    <w:p>
      <w:pPr>
        <w:pStyle w:val="BodyText"/>
      </w:pPr>
      <w:r>
        <w:rPr>
          <w:b/>
          <w:bCs/>
        </w:rPr>
        <w:t xml:space="preserve">Parameter sensitivity.</w:t>
      </w:r>
      <w:r>
        <w:t xml:space="preserve"> </w:t>
      </w:r>
      <w:r>
        <w:t xml:space="preserve">Harmonics</w:t>
      </w:r>
      <w:r>
        <w:t xml:space="preserve"> </w:t>
      </w:r>
      <m:oMath>
        <m:r>
          <m:t>H</m:t>
        </m:r>
      </m:oMath>
      <w:r>
        <w:t xml:space="preserve">=8-64 shows BSJ MSE variation under 7%.</w:t>
      </w:r>
      <w:r>
        <w:t xml:space="preserve"> </w:t>
      </w:r>
      <m:oMath>
        <m:r>
          <m:t>H</m:t>
        </m:r>
      </m:oMath>
      <w:r>
        <w:t xml:space="preserve">=16 balances expressiveness and parameters. BSJ window</w:t>
      </w:r>
      <w:r>
        <w:t xml:space="preserve"> </w:t>
      </w:r>
      <m:oMath>
        <m:r>
          <m:rPr>
            <m:sty m:val="p"/>
          </m:rPr>
          <m:t>±</m:t>
        </m:r>
      </m:oMath>
      <w:r>
        <w:t xml:space="preserve">10-25nt shows consistent behavior.</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w:t>
      </w:r>
    </w:p>
    <w:bookmarkEnd w:id="28"/>
    <w:bookmarkStart w:id="29"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with 12% error [CI 3-21%] (</w:t>
      </w:r>
      <m:oMath>
        <m:r>
          <m:t>N</m:t>
        </m:r>
        <m:r>
          <m:rPr>
            <m:sty m:val="p"/>
          </m:rPr>
          <m:t>=</m:t>
        </m:r>
        <m:r>
          <m:t>4</m:t>
        </m:r>
      </m:oMath>
      <w:r>
        <w:t xml:space="preserve">). m6A extends half-life to</w:t>
      </w:r>
      <w:r>
        <w:t xml:space="preserve"> </w:t>
      </w:r>
      <m:oMath>
        <m:r>
          <m:rPr>
            <m:sty m:val="p"/>
          </m:rPr>
          <m:t>∼</m:t>
        </m:r>
      </m:oMath>
      <w:r>
        <w:t xml:space="preserve">15-22 h; Psi to</w:t>
      </w:r>
      <w:r>
        <w:t xml:space="preserve"> </w:t>
      </w:r>
      <m:oMath>
        <m:r>
          <m:rPr>
            <m:sty m:val="p"/>
          </m:rPr>
          <m:t>∼</m:t>
        </m:r>
      </m:oMath>
      <w:r>
        <w:t xml:space="preserve">20-30 h. Six-compartment AIC = 18.2 vs two-compartment AIC = 22.7 (</w:t>
      </w:r>
      <m:oMath>
        <m:r>
          <m:rPr>
            <m:sty m:val="p"/>
          </m:rPr>
          <m:t>Δ</m:t>
        </m:r>
      </m:oMath>
      <w:r>
        <w:t xml:space="preserve">AIC = 4.5). Endosomal escape bottleneck: 2-4% reaches cytoplasm.</w:t>
      </w:r>
    </w:p>
    <w:bookmarkEnd w:id="29"/>
    <w:bookmarkStart w:id="30" w:name="immunogenicity"/>
    <w:p>
      <w:pPr>
        <w:pStyle w:val="Heading2"/>
      </w:pPr>
      <w:r>
        <w:t xml:space="preserve">Immunogenicity</w:t>
      </w:r>
    </w:p>
    <w:p>
      <w:pPr>
        <w:pStyle w:val="FirstParagraph"/>
      </w:pPr>
      <w:r>
        <w:t xml:space="preserve">Spearman</w:t>
      </w:r>
      <w:r>
        <w:t xml:space="preserve"> </w:t>
      </w:r>
      <m:oMath>
        <m:r>
          <m:t>r</m:t>
        </m:r>
        <m:r>
          <m:rPr>
            <m:sty m:val="p"/>
          </m:rPr>
          <m:t>=</m:t>
        </m:r>
        <m:r>
          <m:t>0.91</m:t>
        </m:r>
      </m:oMath>
      <w:r>
        <w:t xml:space="preserve"> </w:t>
      </w:r>
      <w:r>
        <w:t xml:space="preserve">with Chen et al.</w:t>
      </w:r>
      <w:r>
        <w:t xml:space="preserve"> </w:t>
      </w:r>
      <w:r>
        <w:t xml:space="preserve"> </w:t>
      </w:r>
      <w:r>
        <w:t xml:space="preserve">IFN-</w:t>
      </w:r>
      <m:oMath>
        <m:r>
          <m:t>β</m:t>
        </m:r>
      </m:oMath>
      <w:r>
        <w:t xml:space="preserve"> </w:t>
      </w:r>
      <w:r>
        <w:t xml:space="preserve">(</w:t>
      </w:r>
      <m:oMath>
        <m:r>
          <m:t>N</m:t>
        </m:r>
        <m:r>
          <m:rPr>
            <m:sty m:val="p"/>
          </m:rPr>
          <m:t>=</m:t>
        </m:r>
        <m:r>
          <m:t>7</m:t>
        </m:r>
      </m:oMath>
      <w:r>
        <w:t xml:space="preserve">). HEK293:</w:t>
      </w:r>
      <w:r>
        <w:t xml:space="preserve"> </w:t>
      </w:r>
      <m:oMath>
        <m:r>
          <m:t>r</m:t>
        </m:r>
        <m:r>
          <m:rPr>
            <m:sty m:val="p"/>
          </m:rPr>
          <m:t>=</m:t>
        </m:r>
        <m:r>
          <m:t>0.68</m:t>
        </m:r>
      </m:oMath>
      <w:r>
        <w:t xml:space="preserve"> </w:t>
      </w:r>
      <w:r>
        <w:t xml:space="preserve">[CI 0.26-0.88] (</w:t>
      </w:r>
      <m:oMath>
        <m:r>
          <m:t>N</m:t>
        </m:r>
        <m:r>
          <m:rPr>
            <m:sty m:val="p"/>
          </m:rPr>
          <m:t>=</m:t>
        </m:r>
        <m:r>
          <m:t>15</m:t>
        </m:r>
      </m:oMath>
      <w:r>
        <w:t xml:space="preserve">). 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 MDA5/dsRNA pathway contributes most.</w:t>
      </w:r>
    </w:p>
    <w:bookmarkEnd w:id="30"/>
    <w:bookmarkStart w:id="31" w:name="confluencia-hub"/>
    <w:p>
      <w:pPr>
        <w:pStyle w:val="Heading2"/>
      </w:pPr>
      <w:r>
        <w:t xml:space="preserve">Confluencia Hub</w:t>
      </w:r>
    </w:p>
    <w:p>
      <w:pPr>
        <w:pStyle w:val="FirstParagraph"/>
      </w:pPr>
      <w:r>
        <w:t xml:space="preserve">(A federated confluence point for model weights, not a passive data repository.)</w:t>
      </w:r>
    </w:p>
    <w:p>
      <w:pPr>
        <w:pStyle w:val="BodyText"/>
      </w:pPr>
      <w:r>
        <w:t xml:space="preserve">Federated model sharing with ethics-gated uploads. Users upload trained weights (joblib), not raw data. API: ‘hub.push_model(bundle, strip_env_medians=True)‘. SHA256 verification. Addresses small-sample problem through community aggregation.</w:t>
      </w:r>
    </w:p>
    <w:p>
      <w:pPr>
        <w:pStyle w:val="BodyText"/>
      </w:pPr>
      <w:r>
        <w:rPr>
          <w:b/>
          <w:bCs/>
        </w:rPr>
        <w:t xml:space="preserve">TNBC Subtype Simulation.</w:t>
      </w:r>
      <w:r>
        <w:t xml:space="preserve"> </w:t>
      </w: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Parameter-swap validates internal consistency. Shannon diversity increases from 0.4 to 1.2 under chemotherapy. Demonstrates platform integration for subtype-specific vaccine design.</w:t>
      </w:r>
    </w:p>
    <w:bookmarkEnd w:id="31"/>
    <w:bookmarkEnd w:id="32"/>
    <w:bookmarkStart w:id="43" w:name="discussion"/>
    <w:p>
      <w:pPr>
        <w:pStyle w:val="Heading1"/>
      </w:pPr>
      <w:r>
        <w:t xml:space="preserve">Discussion</w:t>
      </w:r>
    </w:p>
    <w:p>
      <w:pPr>
        <w:pStyle w:val="FirstParagraph"/>
      </w:pPr>
      <w:r>
        <w:t xml:space="preserve">While designed with future data accumulation in mind (via the Hub and TorusFold), Confluencia 3.0 works now as a computational platform for circRNA design. Its modular EventBus architecture lets users replace any component as methods evolve.</w:t>
      </w:r>
    </w:p>
    <w:bookmarkStart w:id="37"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Verified architecture with empirical support:</w:t>
      </w:r>
    </w:p>
    <w:p>
      <w:pPr>
        <w:numPr>
          <w:ilvl w:val="0"/>
          <w:numId w:val="1004"/>
        </w:numPr>
      </w:pPr>
      <w:r>
        <w:rPr>
          <w:b/>
          <w:bCs/>
        </w:rPr>
        <w:t xml:space="preserve">TorusFold: circular topology-aware neural architecture.</w:t>
      </w:r>
      <w:r>
        <w:t xml:space="preserve"> </w:t>
      </w:r>
      <w:r>
        <w:t xml:space="preserve">TPE periodicity is verified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is verified, and embedding distance analysis on 30 sequences confirms TPE correlates with circular distance (</w:t>
      </w:r>
      <m:oMath>
        <m:r>
          <m:t>r</m:t>
        </m:r>
        <m:r>
          <m:rPr>
            <m:sty m:val="p"/>
          </m:rPr>
          <m:t>=</m:t>
        </m:r>
        <m:r>
          <m:t>0.882</m:t>
        </m:r>
      </m:oMath>
      <w:r>
        <w:t xml:space="preserve">) while standard PE correlates with linear distance (</w:t>
      </w:r>
      <m:oMath>
        <m:r>
          <m:t>r</m:t>
        </m:r>
        <m:r>
          <m:rPr>
            <m:sty m:val="p"/>
          </m:rPr>
          <m:t>=</m:t>
        </m:r>
        <m:r>
          <m:t>0.933</m:t>
        </m:r>
      </m:oMath>
      <w:r>
        <w:t xml:space="preserve">). Under current data scarcity, TorusFold operates in physics-constraint fallback mode; the learning-based pair head provides an architectural interface for future activation when circRNA 3D structure data accumulates via circRNA-CASP.</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scored separately. Pathway decomposition improves over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r>
        <w:t xml:space="preserve"> </w:t>
      </w:r>
      <m:oMath>
        <m:r>
          <m:t>N</m:t>
        </m:r>
        <m:r>
          <m:rPr>
            <m:sty m:val="p"/>
          </m:rPr>
          <m:t>=</m:t>
        </m:r>
        <m:r>
          <m:t>50</m:t>
        </m:r>
      </m:oMath>
      <w:r>
        <w:t xml:space="preserve">).</w:t>
      </w:r>
    </w:p>
    <w:p>
      <w:pPr>
        <w:numPr>
          <w:ilvl w:val="0"/>
          <w:numId w:val="1004"/>
        </w:numPr>
      </w:pPr>
      <w:r>
        <w:rPr>
          <w:b/>
          <w:bCs/>
        </w:rPr>
        <w:t xml:space="preserve">Six-compartment circRNA PK.</w:t>
      </w:r>
      <w:r>
        <w:t xml:space="preserve"> </w:t>
      </w:r>
      <w:r>
        <w:t xml:space="preserve">Models endosomal escape bottleneck (1-4% efficiency) that linear mRNA models omit. 12% error vs Wesselhoeft 2018 (</w:t>
      </w:r>
      <m:oMath>
        <m:r>
          <m:t>N</m:t>
        </m:r>
        <m:r>
          <m:rPr>
            <m:sty m:val="p"/>
          </m:rPr>
          <m:t>=</m:t>
        </m:r>
        <m:r>
          <m:t>4</m:t>
        </m:r>
      </m:oMath>
      <w:r>
        <w:t xml:space="preserve">).</w:t>
      </w:r>
    </w:p>
    <w:p>
      <w:pPr>
        <w:pStyle w:val="FirstParagraph"/>
      </w:pPr>
      <w:r>
        <w:rPr>
          <w:b/>
          <w:bCs/>
        </w:rPr>
        <w:t xml:space="preserve">(B) Implemented features requiring validation:</w:t>
      </w:r>
    </w:p>
    <w:p>
      <w:pPr>
        <w:numPr>
          <w:ilvl w:val="0"/>
          <w:numId w:val="1005"/>
        </w:numPr>
      </w:pPr>
      <w:r>
        <w:rPr>
          <w:b/>
          <w:bCs/>
        </w:rPr>
        <w:t xml:space="preserve">Differential m6A suppression modeling.</w:t>
      </w:r>
      <w:r>
        <w:t xml:space="preserve"> </w:t>
      </w:r>
      <w:r>
        <w:t xml:space="preserve">Pathway-specific m6A suppression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Values are literature-derived and stable in sensitivity analysis; experimental calibration awaits future data.</w:t>
      </w:r>
    </w:p>
    <w:p>
      <w:pPr>
        <w:numPr>
          <w:ilvl w:val="0"/>
          <w:numId w:val="1005"/>
        </w:numPr>
      </w:pPr>
      <w:r>
        <w:rPr>
          <w:b/>
          <w:bCs/>
        </w:rPr>
        <w:t xml:space="preserve">Spatial TME simulation.</w:t>
      </w:r>
      <w:r>
        <w:t xml:space="preserve"> </w:t>
      </w:r>
      <w:r>
        <w:t xml:space="preserve">Nine immune cell populations, six cytokines, PD-1/PD-L1 checkpoint dynamics, three spatial compartments. Implementation of Jiang 2019 subtype stratification with spatial extension.</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w:t>
      </w:r>
    </w:p>
    <w:p>
      <w:pPr>
        <w:numPr>
          <w:ilvl w:val="0"/>
          <w:numId w:val="1005"/>
        </w:numPr>
      </w:pPr>
      <w:r>
        <w:rPr>
          <w:b/>
          <w:bCs/>
        </w:rPr>
        <w:t xml:space="preserve">Bio-mimetic drug architecture.</w:t>
      </w:r>
      <w:r>
        <w:t xml:space="preserve"> </w:t>
      </w:r>
      <w:r>
        <w:t xml:space="preserve">Four brain-inspired components enable patient-specific ADMET modulation. Tissue-specific attention weights are rule-based, not learned.</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Enhancement component is hypothetical.</w:t>
      </w:r>
    </w:p>
    <w:bookmarkStart w:id="36" w:name="fig:torusfold"/>
    <w:p>
      <w:pPr>
        <w:pStyle w:val="CaptionedFigure"/>
      </w:pPr>
      <w:r>
        <w:drawing>
          <wp:inline>
            <wp:extent cx="4533900" cy="4684734"/>
            <wp:effectExtent b="0" l="0" r="0" t="0"/>
            <wp:docPr descr="" title="" id="34" name="Picture"/>
            <a:graphic>
              <a:graphicData uri="http://schemas.openxmlformats.org/drawingml/2006/picture">
                <pic:pic>
                  <pic:nvPicPr>
                    <pic:cNvPr descr="fig6_torusfold_architecture.pdf" id="35" name="Picture"/>
                    <pic:cNvPicPr>
                      <a:picLocks noChangeArrowheads="1" noChangeAspect="1"/>
                    </pic:cNvPicPr>
                  </pic:nvPicPr>
                  <pic:blipFill>
                    <a:blip r:embed="rId33"/>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embedding distance analysis shows TPE correlates with circular distance (</w:t>
      </w:r>
      <m:oMath>
        <m:r>
          <m:t>r</m:t>
        </m:r>
        <m:r>
          <m:rPr>
            <m:sty m:val="p"/>
          </m:rPr>
          <m:t>=</m:t>
        </m:r>
        <m:r>
          <m:t>0.882</m:t>
        </m:r>
      </m:oMath>
      <w:r>
        <w:t xml:space="preserve">). Under current data scarcity, operates in physics-constraint fallback mode; learning-based pair head provides architectural interface for future circRNA 3D structure data.</w:t>
      </w:r>
    </w:p>
    <w:bookmarkEnd w:id="36"/>
    <w:p>
      <w:pPr>
        <w:pStyle w:val="BodyText"/>
      </w:pPr>
      <w:r>
        <w:rPr>
          <w:b/>
          <w:bCs/>
        </w:rPr>
        <w:t xml:space="preserve">(D) Software and community infrastructure:</w:t>
      </w:r>
    </w:p>
    <w:p>
      <w:pPr>
        <w:numPr>
          <w:ilvl w:val="0"/>
          <w:numId w:val="1006"/>
        </w:numPr>
      </w:pPr>
      <w:r>
        <w:rPr>
          <w:b/>
          <w:bCs/>
        </w:rPr>
        <w:t xml:space="preserve">Integrated event-driven framework with algorithmic extensibility.</w:t>
      </w:r>
      <w:r>
        <w:t xml:space="preserve"> </w:t>
      </w:r>
      <w:r>
        <w:t xml:space="preserve">EventBus with 18+ event types couples eight subsystems. New algorithms can replace existing implementations by subscribing to the same events.</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p>
      <w:pPr>
        <w:pStyle w:val="FirstParagraph"/>
      </w:pPr>
      <w:r>
        <w:rPr>
          <w:b/>
          <w:bCs/>
        </w:rPr>
        <w:t xml:space="preserve">Integration Ecosystem.</w:t>
      </w:r>
      <w:r>
        <w:t xml:space="preserve"> </w:t>
      </w:r>
      <w:r>
        <w:t xml:space="preserve">The platform uses established external tools via lazy-loading bridges: ViennaRNA for thermodynamic structure prediction (TorusFold as theoretical extension), PK-Sim or physiologically-based PK via EventBus subscription, NetMHCpan (AUC</w:t>
      </w:r>
      <w:r>
        <w:t xml:space="preserve"> </w:t>
      </w:r>
      <m:oMath>
        <m:r>
          <m:rPr>
            <m:sty m:val="p"/>
          </m:rPr>
          <m:t>∼</m:t>
        </m:r>
      </m:oMath>
      <w:r>
        <w:t xml:space="preserve">0.90) for MHC screening. New methods can replace existing implementations by subscribing to the same events without modifying other subsystems.</w:t>
      </w:r>
    </w:p>
    <w:bookmarkEnd w:id="37"/>
    <w:bookmarkStart w:id="38" w:name="what-remains-unvalidated"/>
    <w:p>
      <w:pPr>
        <w:pStyle w:val="Heading2"/>
      </w:pPr>
      <w:r>
        <w:t xml:space="preserve">What Remains Unvalidated</w:t>
      </w:r>
    </w:p>
    <w:p>
      <w:pPr>
        <w:numPr>
          <w:ilvl w:val="0"/>
          <w:numId w:val="1007"/>
        </w:numPr>
      </w:pPr>
      <w:r>
        <w:rPr>
          <w:b/>
          <w:bCs/>
        </w:rPr>
        <w:t xml:space="preserve">TNBC simulation.</w:t>
      </w:r>
      <w:r>
        <w:t xml:space="preserve"> </w:t>
      </w:r>
      <w:r>
        <w:t xml:space="preserve">No TCGA/METABRIC validation. Parameter-swap experiment confirms circular dependency.</w:t>
      </w:r>
    </w:p>
    <w:p>
      <w:pPr>
        <w:numPr>
          <w:ilvl w:val="0"/>
          <w:numId w:val="1007"/>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7"/>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38"/>
    <w:bookmarkStart w:id="39" w:name="the-circrna-data-challenge"/>
    <w:p>
      <w:pPr>
        <w:pStyle w:val="Heading2"/>
      </w:pPr>
      <w:r>
        <w:t xml:space="preserve">The circRNA Data Challenge</w:t>
      </w:r>
    </w:p>
    <w:p>
      <w:pPr>
        <w:pStyle w:val="FirstParagraph"/>
      </w:pPr>
      <w:r>
        <w:t xml:space="preserve">No circRNA crystal structures exist in PDB. Fewer than two dozen structural annotations appear in literature. We designed TorusFold to exist before the data. TPE’s mathematical properties are verified. Proxy experiments demonstrate utility. The pair head awaits circRNA 3D data. We propose circRNA-CASP as community validation, analogous to CASP for proteins. Because no data exists, architectures like TorusFold are needed to define what circRNA structure prediction should look like.</w:t>
      </w:r>
    </w:p>
    <w:bookmarkEnd w:id="39"/>
    <w:bookmarkStart w:id="41" w:name="power-analysis"/>
    <w:p>
      <w:pPr>
        <w:pStyle w:val="Heading2"/>
      </w:pPr>
      <w:r>
        <w:t xml:space="preserve">Power Analysis</w:t>
      </w:r>
    </w:p>
    <w:p>
      <w:pPr>
        <w:pStyle w:val="FirstParagraph"/>
      </w:pPr>
      <w:r>
        <w:t xml:space="preserve">Current sample sizes are insufficient for definitive validation. Required sample sizes:</w:t>
      </w:r>
    </w:p>
    <w:bookmarkStart w:id="40"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AIC=4.5 (medium)</w:t>
            </w:r>
          </w:p>
        </w:tc>
      </w:tr>
    </w:tbl>
    <w:bookmarkEnd w:id="40"/>
    <w:bookmarkEnd w:id="41"/>
    <w:bookmarkStart w:id="42"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enables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2"/>
    <w:bookmarkEnd w:id="43"/>
    <w:bookmarkStart w:id="44" w:name="limitations"/>
    <w:p>
      <w:pPr>
        <w:pStyle w:val="Heading1"/>
      </w:pPr>
      <w:r>
        <w:t xml:space="preserve">Limitations</w:t>
      </w:r>
    </w:p>
    <w:p>
      <w:pPr>
        <w:pStyle w:val="FirstParagraph"/>
      </w:pPr>
      <w:r>
        <w:rPr>
          <w:b/>
          <w:bCs/>
        </w:rPr>
        <w:t xml:space="preserve">Sample sizes.</w:t>
      </w:r>
      <w:r>
        <w:t xml:space="preserve"> </w:t>
      </w:r>
      <w:r>
        <w:t xml:space="preserve">Current sample sizes reflect circRNA data scarcity:</w:t>
      </w:r>
      <w:r>
        <w:t xml:space="preserve"> </w:t>
      </w:r>
      <m:oMath>
        <m:r>
          <m:t>N</m:t>
        </m:r>
        <m:r>
          <m:rPr>
            <m:sty m:val="p"/>
          </m:rPr>
          <m:t>=</m:t>
        </m:r>
        <m:r>
          <m:t>7</m:t>
        </m:r>
      </m:oMath>
      <w:r>
        <w:t xml:space="preserve"> </w:t>
      </w:r>
      <w:r>
        <w:t xml:space="preserve">immunogenicity,</w:t>
      </w:r>
      <w:r>
        <w:t xml:space="preserve"> </w:t>
      </w:r>
      <m:oMath>
        <m:r>
          <m:t>N</m:t>
        </m:r>
        <m:r>
          <m:rPr>
            <m:sty m:val="p"/>
          </m:rPr>
          <m:t>=</m:t>
        </m:r>
        <m:r>
          <m:t>4</m:t>
        </m:r>
      </m:oMath>
      <w:r>
        <w:t xml:space="preserve"> </w:t>
      </w:r>
      <w:r>
        <w:t xml:space="preserve">PK. We encourage readers to interpret the</w:t>
      </w:r>
      <w:r>
        <w:t xml:space="preserve"> </w:t>
      </w:r>
      <m:oMath>
        <m:r>
          <m:t>N</m:t>
        </m:r>
        <m:r>
          <m:rPr>
            <m:sty m:val="p"/>
          </m:rPr>
          <m:t>=</m:t>
        </m:r>
        <m:r>
          <m:t>7</m:t>
        </m:r>
      </m:oMath>
      <w:r>
        <w:t xml:space="preserve"> </w:t>
      </w:r>
      <w:r>
        <w:t xml:space="preserve">and</w:t>
      </w:r>
      <w:r>
        <w:t xml:space="preserve"> </w:t>
      </w:r>
      <m:oMath>
        <m:r>
          <m:t>N</m:t>
        </m:r>
        <m:r>
          <m:rPr>
            <m:sty m:val="p"/>
          </m:rPr>
          <m:t>=</m:t>
        </m:r>
        <m:r>
          <m:t>4</m:t>
        </m:r>
      </m:oMath>
      <w:r>
        <w:t xml:space="preserve"> </w:t>
      </w:r>
      <w:r>
        <w:t xml:space="preserve">results as benchmarks for future community validation rather than definitive performance claims; Confluencia Hub is designed to aggregate additional datasets.</w:t>
      </w:r>
    </w:p>
    <w:p>
      <w:pPr>
        <w:pStyle w:val="BodyText"/>
      </w:pPr>
      <w:r>
        <w:rPr>
          <w:b/>
          <w:bCs/>
        </w:rPr>
        <w:t xml:space="preserve">Immunogenicity.</w:t>
      </w:r>
      <w:r>
        <w:t xml:space="preserve"> </w:t>
      </w:r>
      <w:r>
        <w:t xml:space="preserve">We chose mechanism-based parameterization over deep learning due to data scarcity. This design prioritizes interpretability in the low-data regime. Pathway weights are literature-derived and stable in sensitivity analysis (20% rank inversion under weight variation); experimental calibration awaits future data.</w:t>
      </w:r>
      <w:r>
        <w:t xml:space="preserve"> </w:t>
      </w:r>
      <m:oMath>
        <m:r>
          <m:t>N</m:t>
        </m:r>
        <m:r>
          <m:rPr>
            <m:sty m:val="p"/>
          </m:rPr>
          <m:t>=</m:t>
        </m:r>
        <m:r>
          <m:t>7</m:t>
        </m:r>
      </m:oMath>
      <w:r>
        <w:t xml:space="preserve"> </w:t>
      </w:r>
      <w:r>
        <w:t xml:space="preserve">gives power</w:t>
      </w:r>
      <w:r>
        <w:t xml:space="preserve"> </w:t>
      </w:r>
      <m:oMath>
        <m:r>
          <m:rPr>
            <m:sty m:val="p"/>
          </m:rPr>
          <m:t>≈</m:t>
        </m:r>
      </m:oMath>
      <w:r>
        <w:t xml:space="preserve">0.35. m6A suppression values are estimated, not measured. Bidirectional m6A enhancement_weight is hypothetical.</w:t>
      </w:r>
    </w:p>
    <w:p>
      <w:pPr>
        <w:pStyle w:val="BodyText"/>
      </w:pPr>
      <w:r>
        <w:rPr>
          <w:b/>
          <w:bCs/>
        </w:rPr>
        <w:t xml:space="preserve">PK.</w:t>
      </w:r>
      <w:r>
        <w:t xml:space="preserve"> </w:t>
      </w:r>
      <m:oMath>
        <m:r>
          <m:t>N</m:t>
        </m:r>
        <m:r>
          <m:rPr>
            <m:sty m:val="p"/>
          </m:rPr>
          <m:t>=</m:t>
        </m:r>
        <m:r>
          <m:t>4</m:t>
        </m:r>
      </m:oMath>
      <w:r>
        <w:t xml:space="preserve"> </w:t>
      </w:r>
      <w:r>
        <w:t xml:space="preserve">cannot distinguish six-compartment from simpler models. PK rate constants are literature-derived, stable in sensitivity analysis.</w:t>
      </w:r>
    </w:p>
    <w:p>
      <w:pPr>
        <w:pStyle w:val="BodyText"/>
      </w:pPr>
      <w:r>
        <w:rPr>
          <w:b/>
          <w:bCs/>
        </w:rPr>
        <w:t xml:space="preserve">TorusFold.</w:t>
      </w:r>
      <w:r>
        <w:t xml:space="preserve"> </w:t>
      </w:r>
      <w:r>
        <w:t xml:space="preserve">Under data scarcity, operates in physics-constraint fallback mode; learning-based pair head provides architectural interface for future data. Harmonics</w:t>
      </w:r>
      <w:r>
        <w:t xml:space="preserve"> </w:t>
      </w:r>
      <m:oMath>
        <m:r>
          <m:t>H</m:t>
        </m:r>
      </m:oMath>
      <w:r>
        <w:t xml:space="preserve">=16 validated via sensitivity analysis (&lt;7% MSE variation across H=8-64).</w:t>
      </w:r>
    </w:p>
    <w:p>
      <w:pPr>
        <w:pStyle w:val="BodyText"/>
      </w:pPr>
      <w:r>
        <w:rPr>
          <w:b/>
          <w:bCs/>
        </w:rPr>
        <w:t xml:space="preserve">TNBC simulation.</w:t>
      </w:r>
      <w:r>
        <w:t xml:space="preserve"> </w:t>
      </w:r>
      <w:r>
        <w:t xml:space="preserve">Parameter-swap validates internal consistency. No TCGA/METABRIC external validation.</w:t>
      </w:r>
    </w:p>
    <w:p>
      <w:pPr>
        <w:pStyle w:val="BodyText"/>
      </w:pPr>
      <w:r>
        <w:rPr>
          <w:b/>
          <w:bCs/>
        </w:rPr>
        <w:t xml:space="preserve">RL-ABM reward.</w:t>
      </w:r>
      <w:r>
        <w:t xml:space="preserve"> </w:t>
      </w:r>
      <w:r>
        <w:t xml:space="preserve">Optimizer converges on simulator reward surface, not validated biological optima.</w:t>
      </w:r>
    </w:p>
    <w:p>
      <w:pPr>
        <w:pStyle w:val="BodyText"/>
      </w:pPr>
      <w:r>
        <w:rPr>
          <w:b/>
          <w:bCs/>
        </w:rPr>
        <w:t xml:space="preserve">All results are methodology benchmarks.</w:t>
      </w:r>
      <w:r>
        <w:t xml:space="preserve"> </w:t>
      </w:r>
      <w:r>
        <w:t xml:space="preserve">Simulated outcomes validate internal consistency, not external predictions. Wet-lab validation ongoing.</w:t>
      </w:r>
    </w:p>
    <w:bookmarkEnd w:id="44"/>
    <w:bookmarkStart w:id="45"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5"/>
    <w:bookmarkStart w:id="46"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8"/>
        </w:numPr>
      </w:pPr>
      <w:r>
        <w:rPr>
          <w:b/>
          <w:bCs/>
        </w:rPr>
        <w:t xml:space="preserve">Python API:</w:t>
      </w:r>
      <w:r>
        <w:t xml:space="preserve"> </w:t>
      </w:r>
      <w:r>
        <w:rPr>
          <w:rStyle w:val="VerbatimChar"/>
        </w:rPr>
        <w:t xml:space="preserve">import confluencia_3_0; confluencia_3_0.simulate(config)</w:t>
      </w:r>
    </w:p>
    <w:p>
      <w:pPr>
        <w:numPr>
          <w:ilvl w:val="0"/>
          <w:numId w:val="1008"/>
        </w:numPr>
      </w:pPr>
      <w:r>
        <w:rPr>
          <w:b/>
          <w:bCs/>
        </w:rPr>
        <w:t xml:space="preserve">Streamlit web UI:</w:t>
      </w:r>
      <w:r>
        <w:t xml:space="preserve"> </w:t>
      </w:r>
      <w:r>
        <w:rPr>
          <w:rStyle w:val="VerbatimChar"/>
        </w:rPr>
        <w:t xml:space="preserve">streamlit run confluencia-studio/streamlit_app/Home.py</w:t>
      </w:r>
      <w:r>
        <w:t xml:space="preserve"> </w:t>
      </w:r>
      <w:r>
        <w:t xml:space="preserve">(6 pages: CircRNA Analysis, Drug Prediction, Epitope Screening, TNBC Simulator, Joint Analysis, Report Export)</w:t>
      </w:r>
    </w:p>
    <w:p>
      <w:pPr>
        <w:numPr>
          <w:ilvl w:val="0"/>
          <w:numId w:val="1008"/>
        </w:numPr>
      </w:pPr>
      <w:r>
        <w:rPr>
          <w:b/>
          <w:bCs/>
        </w:rPr>
        <w:t xml:space="preserve">CLI:</w:t>
      </w:r>
      <w:r>
        <w:t xml:space="preserve"> </w:t>
      </w:r>
      <w:r>
        <w:rPr>
          <w:rStyle w:val="VerbatimChar"/>
        </w:rPr>
        <w:t xml:space="preserve">confluencia simulate --subtype IM --steps 100</w:t>
      </w:r>
    </w:p>
    <w:p>
      <w:pPr>
        <w:numPr>
          <w:ilvl w:val="0"/>
          <w:numId w:val="1008"/>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8"/>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46"/>
    <w:bookmarkStart w:id="47"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 Type="http://schemas.openxmlformats.org/officeDocument/2006/relationships/image" Id="rId19" Target="media/rId19.pdf" /><Relationship Type="http://schemas.openxmlformats.org/officeDocument/2006/relationships/image" Id="rId33" Target="media/rId3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2026-06-19T07:13:58Z</dcterms:created>
  <dcterms:modified xsi:type="dcterms:W3CDTF">2026-06-19T07:13:58Z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