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Override PartName="/word/media/rId19.pdf" ContentType="application/pdf"/>
  <Override PartName="/word/media/rId3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Circular RNA (circRNA) has a closed loop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treat them as different. Confluencia 3.0 is the first platform built for circRNA vaccine design that handles this</w:t>
      </w:r>
      <w:r>
        <w:t xml:space="preserve"> </w:t>
      </w:r>
      <m:oMath>
        <m:sSup>
          <m:e>
            <m:r>
              <m:t>S</m:t>
            </m:r>
          </m:e>
          <m:sup>
            <m:r>
              <m:t>1</m:t>
            </m:r>
          </m:sup>
        </m:sSup>
      </m:oMath>
      <w:r>
        <w:t xml:space="preserve"> </w:t>
      </w:r>
      <w:r>
        <w:t xml:space="preserve">topology. TorusFold uses Torus Positional Encoding (TPE) with guaranteed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On 30 circRNA sequences, TPE embedding distances correlate with circular distance (</w:t>
      </w:r>
      <m:oMath>
        <m:r>
          <m:t>r</m:t>
        </m:r>
        <m:r>
          <m:rPr>
            <m:sty m:val="p"/>
          </m:rPr>
          <m:t>=</m:t>
        </m:r>
        <m:r>
          <m:t>0.882</m:t>
        </m:r>
      </m:oMath>
      <w:r>
        <w:t xml:space="preserve"> </w:t>
      </w:r>
      <w:r>
        <w:t xml:space="preserve">[CI 0.75-0.95]) while standard PE correlates with linear distance (</w:t>
      </w:r>
      <m:oMath>
        <m:r>
          <m:t>r</m:t>
        </m:r>
        <m:r>
          <m:rPr>
            <m:sty m:val="p"/>
          </m:rPr>
          <m:t>=</m:t>
        </m:r>
        <m:r>
          <m:t>0.933</m:t>
        </m:r>
      </m:oMath>
      <w:r>
        <w:t xml:space="preserve"> </w:t>
      </w:r>
      <w:r>
        <w:t xml:space="preserve">[CI 0.85-0.97]). Cross-BSJ positions are correctly identified as neighbors (TPE distance 4.50 vs standard PE 9.60). The platform integrates CirculaPK (six-compartment PK capturing 1-4% endosomal escape, 12% error [CI 3-21%] vs literature,</w:t>
      </w:r>
      <w:r>
        <w:t xml:space="preserve"> </w:t>
      </w:r>
      <m:oMath>
        <m:r>
          <m:t>N</m:t>
        </m:r>
        <m:r>
          <m:rPr>
            <m:sty m:val="p"/>
          </m:rPr>
          <m:t>=</m:t>
        </m:r>
        <m:r>
          <m:t>4</m:t>
        </m:r>
      </m:oMath>
      <w:r>
        <w:t xml:space="preserve">), pathway-resolved immunogenicity (</w:t>
      </w:r>
      <m:oMath>
        <m:r>
          <m:t>r</m:t>
        </m:r>
        <m:r>
          <m:rPr>
            <m:sty m:val="p"/>
          </m:rPr>
          <m:t>=</m:t>
        </m:r>
        <m:r>
          <m:t>0.91</m:t>
        </m:r>
      </m:oMath>
      <w:r>
        <w:t xml:space="preserve"> </w:t>
      </w:r>
      <w:r>
        <w:t xml:space="preserve">[CI 0.55-0.99] with Chen 2019,</w:t>
      </w:r>
      <w:r>
        <w:t xml:space="preserve"> </w:t>
      </w:r>
      <m:oMath>
        <m:r>
          <m:t>N</m:t>
        </m:r>
        <m:r>
          <m:rPr>
            <m:sty m:val="p"/>
          </m:rPr>
          <m:t>=</m:t>
        </m:r>
        <m:r>
          <m:t>7</m:t>
        </m:r>
      </m:oMath>
      <w:r>
        <w:t xml:space="preserve">; HEK293</w:t>
      </w:r>
      <w:r>
        <w:t xml:space="preserve"> </w:t>
      </w:r>
      <m:oMath>
        <m:r>
          <m:t>r</m:t>
        </m:r>
        <m:r>
          <m:rPr>
            <m:sty m:val="p"/>
          </m:rPr>
          <m:t>=</m:t>
        </m:r>
        <m:r>
          <m:t>0.68</m:t>
        </m:r>
      </m:oMath>
      <w:r>
        <w:t xml:space="preserve"> </w:t>
      </w:r>
      <w:r>
        <w:t xml:space="preserve">[CI 0.26-0.88],</w:t>
      </w:r>
      <w:r>
        <w:t xml:space="preserve"> </w:t>
      </w:r>
      <m:oMath>
        <m:r>
          <m:t>N</m:t>
        </m:r>
        <m:r>
          <m:rPr>
            <m:sty m:val="p"/>
          </m:rPr>
          <m:t>=</m:t>
        </m:r>
        <m:r>
          <m:t>15</m:t>
        </m:r>
      </m:oMath>
      <w:r>
        <w:t xml:space="preserve">), and Confluencia Hub for federated sharing. TNBC simulation demonstrates application. We propose circRNA-CASP for community validation. Code: github.com/RomanCohort/confluencia (MIT).</w:t>
      </w:r>
    </w:p>
    <w:bookmarkEnd w:id="9"/>
    <w:bookmarkStart w:id="10" w:name="introduction"/>
    <w:p>
      <w:pPr>
        <w:pStyle w:val="Heading1"/>
      </w:pPr>
      <w:r>
        <w:t xml:space="preserve">Introduction</w:t>
      </w:r>
    </w:p>
    <w:p>
      <w:pPr>
        <w:pStyle w:val="FirstParagraph"/>
      </w:pPr>
      <w:r>
        <w:t xml:space="preserve">Circular RNA (circRNA) has advantages for vaccine and therapeutic use. The back-splice junction (BSJ) covalently links 3’ and 5’ ends, blocking exonuclease degradation. Wesselhoeft et al.</w:t>
      </w:r>
      <w:r>
        <w:t xml:space="preserve"> </w:t>
      </w:r>
      <w:r>
        <w:t xml:space="preserve"> </w:t>
      </w:r>
      <w:r>
        <w:t xml:space="preserve">measured circRNA half-lives of 8-24 hours versus linear mRNA’s 2-4 hours. But computational tools for circRNA lag behind the biology.</w:t>
      </w:r>
    </w:p>
    <w:p>
      <w:pPr>
        <w:pStyle w:val="BodyText"/>
      </w:pPr>
      <w:r>
        <w:t xml:space="preserve">Three gaps persist. First, pharmacokinetics: circRNA follows exonuclease-resistant pathways and LNP delivery creates a bottleneck at 1-4% endosomal escape</w:t>
      </w:r>
      <w:r>
        <w:t xml:space="preserve"> </w:t>
      </w:r>
      <w:r>
        <w:t xml:space="preserve">. Standard PK models assume linear RNA degradation. Second, immunogenicity: circRNAs lack 5’ termini, so RIG-I 5’-ppp sensing does not apply</w:t>
      </w:r>
      <w:r>
        <w:t xml:space="preserve"> </w:t>
      </w:r>
      <w:r>
        <w:t xml:space="preserve">. Immune activation comes from dsRNA backbone structures sensed by MDA5</w:t>
      </w:r>
      <w:r>
        <w:t xml:space="preserve"> </w:t>
      </w:r>
      <w:r>
        <w:t xml:space="preserve">. Existing predictors assume linear RNA sensing. Third, structure prediction: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assign them different values, breaking periodicity at the BSJ.</w:t>
      </w:r>
    </w:p>
    <w:p>
      <w:pPr>
        <w:pStyle w:val="BodyText"/>
      </w:pPr>
      <w:r>
        <w:t xml:space="preserve">Current tools address these gaps separately. ViennaRNA predicts secondary structure in circ mode. PK-Sim models pharmacokinetics but lacks circRNA compartments. PhysiCell simulates tumor dynamics but requires manual integration. No unified framework exists.</w:t>
      </w:r>
    </w:p>
    <w:p>
      <w:pPr>
        <w:pStyle w:val="BodyText"/>
      </w:pPr>
      <w:r>
        <w:t xml:space="preserve">We present Confluencia 3.0, an integrated platform built for circRNA’s circular topology. TorusFold provides the first neural architecture for</w:t>
      </w:r>
      <w:r>
        <w:t xml:space="preserve"> </w:t>
      </w:r>
      <m:oMath>
        <m:sSup>
          <m:e>
            <m:r>
              <m:t>S</m:t>
            </m:r>
          </m:e>
          <m:sup>
            <m:r>
              <m:t>1</m:t>
            </m:r>
          </m:sup>
        </m:sSup>
      </m:oMath>
      <w:r>
        <w:t xml:space="preserve"> </w:t>
      </w:r>
      <w:r>
        <w:t xml:space="preserve">topology, with Torus Positional Encoding guaranteeing periodicity and showing empirical advantage in embedding distance analysis. CirculaPK captures endosomal escape. Pathway-resolved immunogenicity scoring distinguishes circRNA sensing from linear RNA assumptions. Confluencia Hub enables federated sharing to address the field’s data scarcity. TNBC subtype-specific vaccine design demonstrates application. The platform is available now (github.com/RomanCohort/confluencia, MIT license) with five interfaces for diverse users.</w:t>
      </w:r>
    </w:p>
    <w:bookmarkEnd w:id="10"/>
    <w:bookmarkStart w:id="26" w:name="methods"/>
    <w:p>
      <w:pPr>
        <w:pStyle w:val="Heading1"/>
      </w:pPr>
      <w:r>
        <w:t xml:space="preserve">Methods</w:t>
      </w:r>
    </w:p>
    <w:bookmarkStart w:id="16" w:name="module-1-tnbc-simulacrum"/>
    <w:p>
      <w:pPr>
        <w:pStyle w:val="Heading2"/>
      </w:pPr>
      <w:r>
        <w:t xml:space="preserve">Module 1: TNBC Simulacrum</w:t>
      </w:r>
    </w:p>
    <w:p>
      <w:pPr>
        <w:pStyle w:val="FirstParagraph"/>
      </w:pPr>
      <w:r>
        <w:t xml:space="preserve">(Latin for</w:t>
      </w:r>
      <w:r>
        <w:t xml:space="preserve"> </w:t>
      </w:r>
      <w:r>
        <w:t xml:space="preserve">‘likeness’</w:t>
      </w:r>
      <w:r>
        <w:t xml:space="preserve">: distinguishing literature-parameterized simulation from predictive digital twinning.)</w:t>
      </w:r>
    </w:p>
    <w:p>
      <w:pPr>
        <w:pStyle w:val="BodyText"/>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reflect input assumptions. IM has higher TIL (0.50-0.70) than BLIS (0.08-0.15); IM responds better to immunotherapy because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4" w:name="fig:tnbc_simulation"/>
    <w:p>
      <w:pPr>
        <w:pStyle w:val="CaptionedFigure"/>
      </w:pPr>
      <w:r>
        <w:drawing>
          <wp:inline>
            <wp:extent cx="4533900" cy="4140840"/>
            <wp:effectExtent b="0" l="0" r="0" t="0"/>
            <wp:docPr descr="" title="" id="12" name="Picture"/>
            <a:graphic>
              <a:graphicData uri="http://schemas.openxmlformats.org/drawingml/2006/picture">
                <pic:pic>
                  <pic:nvPicPr>
                    <pic:cNvPr descr="fig3_tnbc_simulation.pdf" id="13" name="Picture"/>
                    <pic:cNvPicPr>
                      <a:picLocks noChangeArrowheads="1" noChangeAspect="1"/>
                    </pic:cNvPicPr>
                  </pic:nvPicPr>
                  <pic:blipFill>
                    <a:blip r:embed="rId11"/>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4"/>
    <w:p>
      <w:pPr>
        <w:pStyle w:val="BodyText"/>
      </w:pPr>
      <w:r>
        <w:rPr>
          <w:b/>
          <w:bCs/>
        </w:rPr>
        <w:t xml:space="preserve">Subclonal Evolution.</w:t>
      </w:r>
      <w:r>
        <w:t xml:space="preserve"> </w:t>
      </w:r>
      <w:r>
        <w:t xml:space="preserve">Tumor heterogeneity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This discrete approximation simplifies continuous tumor heterogeneity. Drug pressure induces genomic instability: mutation rate increases from 1%/step to 50%/step under treatment, modeling accelerated mutagenesis under chemotherapy</w:t>
      </w:r>
      <w:r>
        <w:t xml:space="preserve"> </w:t>
      </w:r>
      <w:r>
        <w:t xml:space="preserve">. Resistant clones gain selection advantage proportional to drug concentration. Epigenetic adaptation occurs at 2%/step. EventBus emits DRUG_RESISTANCE_EMERGED when Shannon diversity exceeds threshold.</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5"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5"/>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Drug ADMET with Pluggable Backends.</w:t>
      </w:r>
      <w:r>
        <w:t xml:space="preserve"> </w:t>
      </w:r>
      <w:r>
        <w:t xml:space="preserve">Default: rule-based ADMET scoring with PAINS filtering</w:t>
      </w:r>
      <w:r>
        <w:t xml:space="preserve"> </w:t>
      </w:r>
      <w:r>
        <w:t xml:space="preserve">. Users can switch to ADMETlab 3.0</w:t>
      </w:r>
      <w:r>
        <w:t xml:space="preserve"> </w:t>
      </w:r>
      <w:r>
        <w:t xml:space="preserve"> </w:t>
      </w:r>
      <w:r>
        <w:t xml:space="preserve">via EventBus for higher accuracy:</w:t>
      </w:r>
      <w:r>
        <w:t xml:space="preserve"> </w:t>
      </w:r>
      <w:r>
        <w:rPr>
          <w:rStyle w:val="VerbatimChar"/>
        </w:rPr>
        <w:t xml:space="preserve">drug.predict(smiles, backend="admetlab")</w:t>
      </w:r>
      <w:r>
        <w:t xml:space="preserve">. This design lets users choose between offline speed (internal model) and accuracy (external SOTA). Note: the RL-ABM optimizer uses the internal model by default for reward computation. Users requiring higher ADMET accuracy during optimization should set</w:t>
      </w:r>
      <w:r>
        <w:t xml:space="preserve"> </w:t>
      </w:r>
      <w:r>
        <w:rPr>
          <w:rStyle w:val="VerbatimChar"/>
        </w:rPr>
        <w:t xml:space="preserve">reward_backend="admetlab"</w:t>
      </w:r>
      <w:r>
        <w:t xml:space="preserve"> </w:t>
      </w:r>
      <w:r>
        <w:t xml:space="preserve">at the cost of network latency per episode.</w:t>
      </w:r>
    </w:p>
    <w:bookmarkEnd w:id="16"/>
    <w:bookmarkStart w:id="17" w:name="module-2-circulapk-pharmacokinetics"/>
    <w:p>
      <w:pPr>
        <w:pStyle w:val="Heading2"/>
      </w:pPr>
      <w:r>
        <w:t xml:space="preserve">Module 2: CirculaPK Pharmacokinetics</w:t>
      </w:r>
    </w:p>
    <w:p>
      <w:pPr>
        <w:pStyle w:val="FirstParagraph"/>
      </w:pPr>
      <w:r>
        <w:t xml:space="preserve">(Circular RNA-specific pharmacokinetics: the suffix</w:t>
      </w:r>
      <w:r>
        <w:t xml:space="preserve"> </w:t>
      </w:r>
      <w:r>
        <w:t xml:space="preserve">‘a’</w:t>
      </w:r>
      <w:r>
        <w:t xml:space="preserve"> </w:t>
      </w:r>
      <w:r>
        <w:t xml:space="preserve">denotes</w:t>
      </w:r>
      <w:r>
        <w:t xml:space="preserve"> </w:t>
      </w:r>
      <w:r>
        <w:t xml:space="preserve">‘adapted for circular topology’</w:t>
      </w:r>
      <w:r>
        <w:t xml:space="preserve">, capturing endosomal escape, tissue-specific biodistribution, and exonuclease-resistant degradation.)</w:t>
      </w:r>
    </w:p>
    <w:p>
      <w:pPr>
        <w:pStyle w:val="BodyText"/>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7"/>
    <w:bookmarkStart w:id="24"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distinguishes circRNA from linear RNA innate immune activation.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18"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18"/>
    <w:bookmarkStart w:id="22" w:name="fig:immunogenicity"/>
    <w:p>
      <w:pPr>
        <w:pStyle w:val="CaptionedFigure"/>
      </w:pPr>
      <w:r>
        <w:drawing>
          <wp:inline>
            <wp:extent cx="4533900" cy="2184681"/>
            <wp:effectExtent b="0" l="0" r="0" t="0"/>
            <wp:docPr descr="" title="" id="20" name="Picture"/>
            <a:graphic>
              <a:graphicData uri="http://schemas.openxmlformats.org/drawingml/2006/picture">
                <pic:pic>
                  <pic:nvPicPr>
                    <pic:cNvPr descr="fig5_immunogenicity_correlation.pdf" id="21" name="Picture"/>
                    <pic:cNvPicPr>
                      <a:picLocks noChangeArrowheads="1" noChangeAspect="1"/>
                    </pic:cNvPicPr>
                  </pic:nvPicPr>
                  <pic:blipFill>
                    <a:blip r:embed="rId19"/>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 </w:t>
      </w:r>
      <w:r>
        <w:t xml:space="preserve">[CI 0.55-0.99],</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BIC = 7.4).</w:t>
      </w:r>
    </w:p>
    <w:bookmarkEnd w:id="22"/>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(Placeholder Parameters).</w:t>
      </w:r>
      <w:r>
        <w:t xml:space="preserve"> </w:t>
      </w:r>
      <w:r>
        <w:t xml:space="preserve">m6A modification suppresses immune activation with pathway-specific intensity. These values are uncalibrated placeholders derived from mechanistic reasoning, not measured in circRNA systems. Users should treat them as sensitivity analysis parameters, not validated constants:</w:t>
      </w:r>
    </w:p>
    <w:bookmarkStart w:id="23"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3"/>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remain placeholders until experimental calibration. Sensitivity analysis (</w:t>
      </w:r>
      <m:oMath>
        <m:r>
          <m:rPr>
            <m:sty m:val="p"/>
          </m:rPr>
          <m:t>±</m:t>
        </m:r>
      </m:oMath>
      <w:r>
        <w:t xml:space="preserve">50% variation on suppression values) changes immunogenicity rank order for 2/15 test sequences, indicating moderate robustness to these placeholder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GC-only baseline model achieves Spearman</w:t>
      </w:r>
      <w:r>
        <w:t xml:space="preserve"> </w:t>
      </w:r>
      <m:oMath>
        <m:r>
          <m:t>r</m:t>
        </m:r>
        <m:r>
          <m:rPr>
            <m:sty m:val="p"/>
          </m:rPr>
          <m:t>=</m:t>
        </m:r>
        <m:r>
          <m:t>0.79</m:t>
        </m:r>
      </m:oMath>
      <w:r>
        <w:t xml:space="preserve">. Pathway model achieves</w:t>
      </w:r>
      <w:r>
        <w:t xml:space="preserve"> </w:t>
      </w:r>
      <m:oMath>
        <m:r>
          <m:t>r</m:t>
        </m:r>
        <m:r>
          <m:rPr>
            <m:sty m:val="p"/>
          </m:rPr>
          <m:t>=</m:t>
        </m:r>
        <m:r>
          <m:t>0.85</m:t>
        </m:r>
      </m:oMath>
      <w:r>
        <w:t xml:space="preserve"> </w:t>
      </w:r>
      <w:r>
        <w:t xml:space="preserve">(</w:t>
      </w:r>
      <m:oMath>
        <m:r>
          <m:rPr>
            <m:sty m:val="p"/>
          </m:rPr>
          <m:t>Δ</m:t>
        </m:r>
      </m:oMath>
      <w:r>
        <w:t xml:space="preserve">BIC = 7.4 on</w:t>
      </w:r>
      <w:r>
        <w:t xml:space="preserve"> </w:t>
      </w:r>
      <m:oMath>
        <m:r>
          <m:t>N</m:t>
        </m:r>
        <m:r>
          <m:rPr>
            <m:sty m:val="p"/>
          </m:rPr>
          <m:t>=</m:t>
        </m:r>
        <m:r>
          <m:t>50</m:t>
        </m:r>
      </m:oMath>
      <w:r>
        <w:t xml:space="preserve">, where BIC penalty is</w:t>
      </w:r>
      <w:r>
        <w:t xml:space="preserve"> </w:t>
      </w:r>
      <m:oMath>
        <m:r>
          <m:rPr>
            <m:sty m:val="p"/>
          </m:rPr>
          <m:t>ln</m:t>
        </m:r>
        <m:r>
          <m:rPr>
            <m:sty m:val="p"/>
          </m:rPr>
          <m:t>(</m:t>
        </m:r>
        <m:r>
          <m:t>50</m:t>
        </m:r>
        <m:r>
          <m:rPr>
            <m:sty m:val="p"/>
          </m:rPr>
          <m:t>)</m:t>
        </m:r>
        <m:r>
          <m:rPr>
            <m:sty m:val="p"/>
          </m:rPr>
          <m:t>≈</m:t>
        </m:r>
        <m:r>
          <m:t>3.9</m:t>
        </m:r>
      </m:oMath>
      <w:r>
        <w:t xml:space="preserve"> </w:t>
      </w:r>
      <w:r>
        <w:t xml:space="preserve">per additional parameter). Differential m6A suppression model adds non-redundant information after correcting for multiple testing (Berger-Dumbell,</w:t>
      </w:r>
      <w:r>
        <w:t xml:space="preserve"> </w:t>
      </w:r>
      <m:oMath>
        <m:r>
          <m:t>p</m:t>
        </m:r>
        <m:r>
          <m:rPr>
            <m:sty m:val="p"/>
          </m:rPr>
          <m:t>=</m:t>
        </m:r>
        <m:r>
          <m:t>0.03</m:t>
        </m:r>
      </m:oMath>
      <w:r>
        <w:t xml:space="preserve">).</w:t>
      </w:r>
    </w:p>
    <w:bookmarkEnd w:id="24"/>
    <w:bookmarkStart w:id="25"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5"/>
    <w:bookmarkEnd w:id="26"/>
    <w:bookmarkStart w:id="35" w:name="results"/>
    <w:p>
      <w:pPr>
        <w:pStyle w:val="Heading1"/>
      </w:pPr>
      <w:r>
        <w:t xml:space="preserve">Results</w:t>
      </w:r>
    </w:p>
    <w:bookmarkStart w:id="29" w:name="torusfold-circular-topology-validation"/>
    <w:p>
      <w:pPr>
        <w:pStyle w:val="Heading2"/>
      </w:pPr>
      <w:r>
        <w:t xml:space="preserve">TorusFold Circular Topology Validation</w:t>
      </w:r>
    </w:p>
    <w:p>
      <w:pPr>
        <w:pStyle w:val="FirstParagraph"/>
      </w:pPr>
      <w:r>
        <w:t xml:space="preserve">(Torus for</w:t>
      </w:r>
      <w:r>
        <w:t xml:space="preserve"> </w:t>
      </w:r>
      <m:oMath>
        <m:sSup>
          <m:e>
            <m:r>
              <m:t>S</m:t>
            </m:r>
          </m:e>
          <m:sup>
            <m:r>
              <m:t>1</m:t>
            </m:r>
          </m:sup>
        </m:sSup>
      </m:oMath>
      <w:r>
        <w:t xml:space="preserve"> </w:t>
      </w:r>
      <w:r>
        <w:t xml:space="preserve">topology, Fold for structure prediction: positional encoding guarantees periodicity across the back-splice junction.)</w:t>
      </w:r>
    </w:p>
    <w:p>
      <w:pPr>
        <w:pStyle w:val="BodyText"/>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w:t>
      </w:r>
      <w:r>
        <w:t xml:space="preserve">[CI 0.75-0.95],</w:t>
      </w:r>
      <w:r>
        <w:t xml:space="preserve"> </w:t>
      </w:r>
      <m:oMath>
        <m:r>
          <m:t>N</m:t>
        </m:r>
        <m:r>
          <m:rPr>
            <m:sty m:val="p"/>
          </m:rPr>
          <m:t>=</m:t>
        </m:r>
        <m:r>
          <m:t>30</m:t>
        </m:r>
      </m:oMath>
      <w:r>
        <w:t xml:space="preserve">). Standard PE correlates with linear distance (</w:t>
      </w:r>
      <m:oMath>
        <m:r>
          <m:t>r</m:t>
        </m:r>
        <m:r>
          <m:rPr>
            <m:sty m:val="p"/>
          </m:rPr>
          <m:t>=</m:t>
        </m:r>
        <m:r>
          <m:t>0.933</m:t>
        </m:r>
      </m:oMath>
      <w:r>
        <w:t xml:space="preserve"> </w:t>
      </w:r>
      <w:r>
        <w:t xml:space="preserve">[CI 0.85-0.97]). For positions that are neighbors on the circle but far apart linearly (across the BSJ), TPE assigns average embedding distance 4.50. Standard PE assigns 9.60. TPE correctly identifies BSJ-crossing positions as neighbors.</w:t>
      </w:r>
    </w:p>
    <w:bookmarkStart w:id="27"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27"/>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w:t>
      </w:r>
    </w:p>
    <w:p>
      <w:pPr>
        <w:pStyle w:val="BodyText"/>
      </w:pPr>
      <w:r>
        <w:rPr>
          <w:b/>
          <w:bCs/>
        </w:rPr>
        <w:t xml:space="preserve">Parameter sensitivity.</w:t>
      </w:r>
      <w:r>
        <w:t xml:space="preserve"> </w:t>
      </w:r>
      <w:r>
        <w:t xml:space="preserve">Harmonics</w:t>
      </w:r>
      <w:r>
        <w:t xml:space="preserve"> </w:t>
      </w:r>
      <m:oMath>
        <m:r>
          <m:t>H</m:t>
        </m:r>
      </m:oMath>
      <w:r>
        <w:t xml:space="preserve">=8-64 shows BSJ MSE variation under 7%.</w:t>
      </w:r>
      <w:r>
        <w:t xml:space="preserve"> </w:t>
      </w:r>
      <m:oMath>
        <m:r>
          <m:t>H</m:t>
        </m:r>
      </m:oMath>
      <w:r>
        <w:t xml:space="preserve">=16 balances expressiveness and parameters. BSJ window</w:t>
      </w:r>
      <w:r>
        <w:t xml:space="preserve"> </w:t>
      </w:r>
      <m:oMath>
        <m:r>
          <m:rPr>
            <m:sty m:val="p"/>
          </m:rPr>
          <m:t>±</m:t>
        </m:r>
      </m:oMath>
      <w:r>
        <w:t xml:space="preserve">10-25nt shows consistent behavior.</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w:t>
      </w:r>
    </w:p>
    <w:p>
      <w:pPr>
        <w:pStyle w:val="BodyText"/>
      </w:pPr>
      <w:r>
        <w:rPr>
          <w:b/>
          <w:bCs/>
        </w:rPr>
        <w:t xml:space="preserve">Comparison with alternative position encodings.</w:t>
      </w:r>
      <w:r>
        <w:t xml:space="preserve"> </w:t>
      </w:r>
      <w:r>
        <w:t xml:space="preserve">We compared TPE against two established methods: RoPE (Rotary Position Embedding, Su et al. 2021) and ALiBi (Attention with Linear Biases, Press et al. 2022). On 30 circRNA sequences, TPE achieves circular distance correlation</w:t>
      </w:r>
      <w:r>
        <w:t xml:space="preserve"> </w:t>
      </w:r>
      <m:oMath>
        <m:r>
          <m:t>r</m:t>
        </m:r>
        <m:r>
          <m:rPr>
            <m:sty m:val="p"/>
          </m:rPr>
          <m:t>=</m:t>
        </m:r>
        <m:r>
          <m:t>0.882</m:t>
        </m:r>
      </m:oMath>
      <w:r>
        <w:t xml:space="preserve"> </w:t>
      </w:r>
      <w:r>
        <w:t xml:space="preserve">[CI 0.75-0.95], outperforming RoPE (</w:t>
      </w:r>
      <m:oMath>
        <m:r>
          <m:t>r</m:t>
        </m:r>
        <m:r>
          <m:rPr>
            <m:sty m:val="p"/>
          </m:rPr>
          <m:t>=</m:t>
        </m:r>
        <m:r>
          <m:t>0.512</m:t>
        </m:r>
      </m:oMath>
      <w:r>
        <w:t xml:space="preserve"> </w:t>
      </w:r>
      <w:r>
        <w:t xml:space="preserve">[CI 0.23-0.72]) and ALiBi (</w:t>
      </w:r>
      <m:oMath>
        <m:r>
          <m:t>r</m:t>
        </m:r>
        <m:r>
          <m:rPr>
            <m:sty m:val="p"/>
          </m:rPr>
          <m:t>=</m:t>
        </m:r>
        <m:r>
          <m:t>0.389</m:t>
        </m:r>
      </m:oMath>
      <w:r>
        <w:t xml:space="preserve"> </w:t>
      </w:r>
      <w:r>
        <w:t xml:space="preserve">[CI 0.08-0.62]). Standard PE achieves</w:t>
      </w:r>
      <w:r>
        <w:t xml:space="preserve"> </w:t>
      </w:r>
      <m:oMath>
        <m:r>
          <m:t>r</m:t>
        </m:r>
        <m:r>
          <m:rPr>
            <m:sty m:val="p"/>
          </m:rPr>
          <m:t>=</m:t>
        </m:r>
        <m:r>
          <m:t>0.443</m:t>
        </m:r>
      </m:oMath>
      <w:r>
        <w:t xml:space="preserve"> </w:t>
      </w:r>
      <w:r>
        <w:t xml:space="preserve">[CI 0.15-0.67] on circular distance but</w:t>
      </w:r>
      <w:r>
        <w:t xml:space="preserve"> </w:t>
      </w:r>
      <m:oMath>
        <m:r>
          <m:t>r</m:t>
        </m:r>
        <m:r>
          <m:rPr>
            <m:sty m:val="p"/>
          </m:rPr>
          <m:t>=</m:t>
        </m:r>
        <m:r>
          <m:t>0.933</m:t>
        </m:r>
      </m:oMath>
      <w:r>
        <w:t xml:space="preserve"> </w:t>
      </w:r>
      <w:r>
        <w:t xml:space="preserve">[CI 0.85-0.97] on linear distance. Cross-BSJ embedding distance: TPE 4.50, RoPE 7.85, ALiBi 11.20, Standard PE 9.60.</w:t>
      </w:r>
    </w:p>
    <w:bookmarkStart w:id="28" w:name="tab:pe_comparison"/>
    <w:p>
      <w:pPr>
        <w:pStyle w:val="TableCaption"/>
      </w:pPr>
      <w:r>
        <w:t xml:space="preserve">Position encoding comparison for circRNA topology</w:t>
      </w:r>
    </w:p>
    <w:tbl>
      <w:tblPr>
        <w:tblStyle w:val="Table"/>
        <w:tblW w:type="auto" w:w="0"/>
        <w:tblLook w:firstRow="1" w:lastRow="0" w:firstColumn="0" w:lastColumn="0" w:noHBand="0" w:noVBand="0" w:val="0020"/>
        <w:tblCaption w:val="Position encoding comparison for circRNA topology"/>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Circular Dist. Corr.</w:t>
            </w:r>
          </w:p>
        </w:tc>
        <w:tc>
          <w:tcPr/>
          <w:p>
            <w:pPr>
              <w:pStyle w:val="Compact"/>
              <w:jc w:val="center"/>
            </w:pPr>
            <w:r>
              <w:rPr>
                <w:b/>
                <w:bCs/>
              </w:rPr>
              <w:t xml:space="preserve">95% CI</w:t>
            </w:r>
          </w:p>
        </w:tc>
        <w:tc>
          <w:tcPr/>
          <w:p>
            <w:pPr>
              <w:pStyle w:val="Compact"/>
              <w:jc w:val="center"/>
            </w:pPr>
            <w:r>
              <w:rPr>
                <w:b/>
                <w:bCs/>
              </w:rPr>
              <w:t xml:space="preserve">Cross-BSJ Dist.</w:t>
            </w:r>
          </w:p>
        </w:tc>
        <w:tc>
          <w:tcPr/>
          <w:p>
            <w:pPr>
              <w:pStyle w:val="Compact"/>
              <w:jc w:val="center"/>
            </w:pPr>
            <w:r>
              <w:rPr>
                <w:b/>
                <w:bCs/>
              </w:rPr>
              <w:t xml:space="preserve">Periodicity</w:t>
            </w:r>
          </w:p>
        </w:tc>
      </w:tr>
      <w:tr>
        <w:tc>
          <w:tcPr/>
          <w:p>
            <w:pPr>
              <w:pStyle w:val="Compact"/>
              <w:jc w:val="left"/>
            </w:pPr>
            <w:r>
              <w:t xml:space="preserve">Standard PE</w:t>
            </w:r>
          </w:p>
        </w:tc>
        <w:tc>
          <w:tcPr/>
          <w:p>
            <w:pPr>
              <w:pStyle w:val="Compact"/>
              <w:jc w:val="center"/>
            </w:pPr>
            <m:oMath>
              <m:r>
                <m:t>r</m:t>
              </m:r>
              <m:r>
                <m:rPr>
                  <m:sty m:val="p"/>
                </m:rPr>
                <m:t>=</m:t>
              </m:r>
              <m:r>
                <m:t>0.443</m:t>
              </m:r>
            </m:oMath>
          </w:p>
        </w:tc>
        <w:tc>
          <w:tcPr/>
          <w:p>
            <w:pPr>
              <w:pStyle w:val="Compact"/>
              <w:jc w:val="center"/>
            </w:pPr>
            <w:r>
              <w:t xml:space="preserve">[0.15-0.67]</w:t>
            </w:r>
          </w:p>
        </w:tc>
        <w:tc>
          <w:tcPr/>
          <w:p>
            <w:pPr>
              <w:pStyle w:val="Compact"/>
              <w:jc w:val="center"/>
            </w:pPr>
            <w:r>
              <w:t xml:space="preserve">9.60</w:t>
            </w:r>
          </w:p>
        </w:tc>
        <w:tc>
          <w:tcPr/>
          <w:p>
            <w:pPr>
              <w:pStyle w:val="Compact"/>
              <w:jc w:val="center"/>
            </w:pPr>
            <w:r>
              <w:t xml:space="preserve">No</w:t>
            </w:r>
          </w:p>
        </w:tc>
      </w:tr>
      <w:tr>
        <w:tc>
          <w:tcPr/>
          <w:p>
            <w:pPr>
              <w:pStyle w:val="Compact"/>
              <w:jc w:val="left"/>
            </w:pPr>
            <w:r>
              <w:t xml:space="preserve">RoPE</w:t>
            </w:r>
          </w:p>
        </w:tc>
        <w:tc>
          <w:tcPr/>
          <w:p>
            <w:pPr>
              <w:pStyle w:val="Compact"/>
              <w:jc w:val="center"/>
            </w:pPr>
            <m:oMath>
              <m:r>
                <m:t>r</m:t>
              </m:r>
              <m:r>
                <m:rPr>
                  <m:sty m:val="p"/>
                </m:rPr>
                <m:t>=</m:t>
              </m:r>
              <m:r>
                <m:t>0.512</m:t>
              </m:r>
            </m:oMath>
          </w:p>
        </w:tc>
        <w:tc>
          <w:tcPr/>
          <w:p>
            <w:pPr>
              <w:pStyle w:val="Compact"/>
              <w:jc w:val="center"/>
            </w:pPr>
            <w:r>
              <w:t xml:space="preserve">[0.23-0.72]</w:t>
            </w:r>
          </w:p>
        </w:tc>
        <w:tc>
          <w:tcPr/>
          <w:p>
            <w:pPr>
              <w:pStyle w:val="Compact"/>
              <w:jc w:val="center"/>
            </w:pPr>
            <w:r>
              <w:t xml:space="preserve">7.85</w:t>
            </w:r>
          </w:p>
        </w:tc>
        <w:tc>
          <w:tcPr/>
          <w:p>
            <w:pPr>
              <w:pStyle w:val="Compact"/>
              <w:jc w:val="center"/>
            </w:pPr>
            <w:r>
              <w:t xml:space="preserve">Implicit</w:t>
            </w:r>
          </w:p>
        </w:tc>
      </w:tr>
      <w:tr>
        <w:tc>
          <w:tcPr/>
          <w:p>
            <w:pPr>
              <w:pStyle w:val="Compact"/>
              <w:jc w:val="left"/>
            </w:pPr>
            <w:r>
              <w:t xml:space="preserve">ALiBi</w:t>
            </w:r>
          </w:p>
        </w:tc>
        <w:tc>
          <w:tcPr/>
          <w:p>
            <w:pPr>
              <w:pStyle w:val="Compact"/>
              <w:jc w:val="center"/>
            </w:pPr>
            <m:oMath>
              <m:r>
                <m:t>r</m:t>
              </m:r>
              <m:r>
                <m:rPr>
                  <m:sty m:val="p"/>
                </m:rPr>
                <m:t>=</m:t>
              </m:r>
              <m:r>
                <m:t>0.389</m:t>
              </m:r>
            </m:oMath>
          </w:p>
        </w:tc>
        <w:tc>
          <w:tcPr/>
          <w:p>
            <w:pPr>
              <w:pStyle w:val="Compact"/>
              <w:jc w:val="center"/>
            </w:pPr>
            <w:r>
              <w:t xml:space="preserve">[0.08-0.62]</w:t>
            </w:r>
          </w:p>
        </w:tc>
        <w:tc>
          <w:tcPr/>
          <w:p>
            <w:pPr>
              <w:pStyle w:val="Compact"/>
              <w:jc w:val="center"/>
            </w:pPr>
            <w:r>
              <w:t xml:space="preserve">11.20</w:t>
            </w:r>
          </w:p>
        </w:tc>
        <w:tc>
          <w:tcPr/>
          <w:p>
            <w:pPr>
              <w:pStyle w:val="Compact"/>
              <w:jc w:val="center"/>
            </w:pPr>
            <w:r>
              <w:t xml:space="preserve">No</w:t>
            </w:r>
          </w:p>
        </w:tc>
      </w:tr>
      <w:tr>
        <w:tc>
          <w:tcPr/>
          <w:p>
            <w:pPr>
              <w:pStyle w:val="Compact"/>
              <w:jc w:val="left"/>
            </w:pPr>
            <w:r>
              <w:t xml:space="preserve">TPE (ours)</w:t>
            </w:r>
          </w:p>
        </w:tc>
        <w:tc>
          <w:tcPr/>
          <w:p>
            <w:pPr>
              <w:pStyle w:val="Compact"/>
              <w:jc w:val="center"/>
            </w:pPr>
            <m:oMath>
              <m:r>
                <m:t>r</m:t>
              </m:r>
              <m:r>
                <m:rPr>
                  <m:sty m:val="p"/>
                </m:rPr>
                <m:t>=</m:t>
              </m:r>
              <m:r>
                <m:t>0.882</m:t>
              </m:r>
            </m:oMath>
          </w:p>
        </w:tc>
        <w:tc>
          <w:tcPr/>
          <w:p>
            <w:pPr>
              <w:pStyle w:val="Compact"/>
              <w:jc w:val="center"/>
            </w:pPr>
            <w:r>
              <w:t xml:space="preserve">[0.75-0.95]</w:t>
            </w:r>
          </w:p>
        </w:tc>
        <w:tc>
          <w:tcPr/>
          <w:p>
            <w:pPr>
              <w:pStyle w:val="Compact"/>
              <w:jc w:val="center"/>
            </w:pPr>
            <w:r>
              <w:t xml:space="preserve">4.50</w:t>
            </w:r>
          </w:p>
        </w:tc>
        <w:tc>
          <w:tcPr/>
          <w:p>
            <w:pPr>
              <w:pStyle w:val="Compact"/>
              <w:jc w:val="center"/>
            </w:pPr>
            <w:r>
              <w:t xml:space="preserve">Explicit</w:t>
            </w:r>
          </w:p>
        </w:tc>
      </w:tr>
    </w:tbl>
    <w:bookmarkEnd w:id="28"/>
    <w:p>
      <w:pPr>
        <w:pStyle w:val="BodyText"/>
      </w:pPr>
      <w:r>
        <w:t xml:space="preserve">RoPE encodes relative positions via rotation matrices in complex space. For circRNA, RoPE’s relative position encoding partially captures circular adjacency: positions near the BSJ have smaller relative distances. However, RoPE’s periodicity is implicit through relative position formulation, not explicit for the</w:t>
      </w:r>
      <w:r>
        <w:t xml:space="preserve"> </w:t>
      </w:r>
      <m:oMath>
        <m:sSup>
          <m:e>
            <m:r>
              <m:t>S</m:t>
            </m:r>
          </m:e>
          <m:sup>
            <m:r>
              <m:t>1</m:t>
            </m:r>
          </m:sup>
        </m:sSup>
      </m:oMath>
      <w:r>
        <w:t xml:space="preserve"> </w:t>
      </w:r>
      <w:r>
        <w:t xml:space="preserve">topology. Cross-BSJ embedding distance (7.85) is intermediate between standard PE (9.60) and TPE (4.50).</w:t>
      </w:r>
    </w:p>
    <w:p>
      <w:pPr>
        <w:pStyle w:val="BodyText"/>
      </w:pPr>
      <w:r>
        <w:t xml:space="preserve">ALiBi uses linear biases that decay with distance. This extrapolates to longer sequences but treats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as maximally distant (linear bias at maximum separation). ALiBi’s circular distance correlation (</w:t>
      </w:r>
      <m:oMath>
        <m:r>
          <m:t>r</m:t>
        </m:r>
        <m:r>
          <m:rPr>
            <m:sty m:val="p"/>
          </m:rPr>
          <m:t>=</m:t>
        </m:r>
        <m:r>
          <m:t>0.389</m:t>
        </m:r>
      </m:oMath>
      <w:r>
        <w:t xml:space="preserve">) is lowest among tested methods, reflecting its linear-distance design.</w:t>
      </w:r>
    </w:p>
    <w:p>
      <w:pPr>
        <w:pStyle w:val="BodyText"/>
      </w:pPr>
      <w:r>
        <w:t xml:space="preserve">TPE explicitly ties position to angle</w:t>
      </w:r>
      <w:r>
        <w:t xml:space="preserve"> </w:t>
      </w:r>
      <m:oMath>
        <m:sSub>
          <m:e>
            <m:r>
              <m:t>θ</m:t>
            </m:r>
          </m:e>
          <m:sub>
            <m:r>
              <m:t>i</m:t>
            </m:r>
          </m:sub>
        </m:sSub>
        <m:r>
          <m:rPr>
            <m:sty m:val="p"/>
          </m:rPr>
          <m:t>=</m:t>
        </m:r>
        <m:r>
          <m:t>2</m:t>
        </m:r>
        <m:r>
          <m:t>π</m:t>
        </m:r>
        <m:r>
          <m:t>i</m:t>
        </m:r>
        <m:r>
          <m:rPr>
            <m:sty m:val="p"/>
          </m:rPr>
          <m:t>/</m:t>
        </m:r>
        <m:r>
          <m:t>L</m:t>
        </m:r>
      </m:oMath>
      <w:r>
        <w:t xml:space="preserve"> </w:t>
      </w:r>
      <w:r>
        <w:t xml:space="preserve">on a circle, guaranteeing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This explicit periodicity makes cross-BSJ positions neighbors by construction.</w:t>
      </w:r>
    </w:p>
    <w:p>
      <w:pPr>
        <w:pStyle w:val="BodyText"/>
      </w:pPr>
      <w:r>
        <w:rPr>
          <w:b/>
          <w:bCs/>
        </w:rPr>
        <w:t xml:space="preserve">Why not circular-adapted RoPE?</w:t>
      </w:r>
      <w:r>
        <w:t xml:space="preserve"> </w:t>
      </w:r>
      <w:r>
        <w:t xml:space="preserve">A natural question is whether replacing RoPE’s linear relative distance</w:t>
      </w:r>
      <w:r>
        <w:t xml:space="preserve"> </w:t>
      </w:r>
      <m:oMath>
        <m:r>
          <m:rPr>
            <m:sty m:val="p"/>
          </m:rPr>
          <m:t>|</m:t>
        </m:r>
        <m:r>
          <m:t>i</m:t>
        </m:r>
        <m:r>
          <m:rPr>
            <m:sty m:val="p"/>
          </m:rPr>
          <m:t>−</m:t>
        </m:r>
        <m:r>
          <m:t>j</m:t>
        </m:r>
        <m:r>
          <m:rPr>
            <m:sty m:val="p"/>
          </m:rPr>
          <m:t>|</m:t>
        </m:r>
      </m:oMath>
      <w:r>
        <w:t xml:space="preserve"> </w:t>
      </w:r>
      <w:r>
        <w:t xml:space="preserve">with circular distance</w:t>
      </w:r>
      <w:r>
        <w:t xml:space="preserve"> </w:t>
      </w:r>
      <m:oMath>
        <m:r>
          <m:rPr>
            <m:sty m:val="p"/>
          </m:rPr>
          <m:t>min</m:t>
        </m:r>
        <m:r>
          <m:rPr>
            <m:sty m:val="p"/>
          </m:rPr>
          <m:t>(</m:t>
        </m:r>
        <m:r>
          <m:rPr>
            <m:sty m:val="p"/>
          </m:rPr>
          <m:t>|</m:t>
        </m:r>
        <m:r>
          <m:t>i</m:t>
        </m:r>
        <m:r>
          <m:rPr>
            <m:sty m:val="p"/>
          </m:rPr>
          <m:t>−</m:t>
        </m:r>
        <m:r>
          <m:t>j</m:t>
        </m:r>
        <m:r>
          <m:rPr>
            <m:sty m:val="p"/>
          </m:rPr>
          <m:t>|</m:t>
        </m:r>
        <m:r>
          <m:rPr>
            <m:sty m:val="p"/>
          </m:rPr>
          <m:t>,</m:t>
        </m:r>
        <m:r>
          <m:t>L</m:t>
        </m:r>
        <m:r>
          <m:rPr>
            <m:sty m:val="p"/>
          </m:rPr>
          <m:t>−</m:t>
        </m:r>
        <m:r>
          <m:rPr>
            <m:sty m:val="p"/>
          </m:rPr>
          <m:t>|</m:t>
        </m:r>
        <m:r>
          <m:t>i</m:t>
        </m:r>
        <m:r>
          <m:rPr>
            <m:sty m:val="p"/>
          </m:rPr>
          <m:t>−</m:t>
        </m:r>
        <m:r>
          <m:t>j</m:t>
        </m:r>
        <m:r>
          <m:rPr>
            <m:sty m:val="p"/>
          </m:rPr>
          <m:t>|</m:t>
        </m:r>
        <m:r>
          <m:rPr>
            <m:sty m:val="p"/>
          </m:rPr>
          <m:t>)</m:t>
        </m:r>
      </m:oMath>
      <w:r>
        <w:t xml:space="preserve"> </w:t>
      </w:r>
      <w:r>
        <w:t xml:space="preserve">would achieve the same effect. This modification would improve cross-BSJ attention weights but would not make the position encodings themselves periodic: RoPE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would still receive different absolute encodings, even if the attention mechanism uses circular relative distance. TPE guarantees periodicity at the encoding level, before attention computation, so all downstream operations (MLP layers, residual connections, pair representations) also respect the topology. Circular distance alone fixes attention but leaves the rest of the network topology-unaware.</w:t>
      </w:r>
    </w:p>
    <w:bookmarkEnd w:id="29"/>
    <w:bookmarkStart w:id="30"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with 12% error [CI 3-21%] (</w:t>
      </w:r>
      <m:oMath>
        <m:r>
          <m:t>N</m:t>
        </m:r>
        <m:r>
          <m:rPr>
            <m:sty m:val="p"/>
          </m:rPr>
          <m:t>=</m:t>
        </m:r>
        <m:r>
          <m:t>4</m:t>
        </m:r>
      </m:oMath>
      <w:r>
        <w:t xml:space="preserve">). m6A extends half-life to</w:t>
      </w:r>
      <w:r>
        <w:t xml:space="preserve"> </w:t>
      </w:r>
      <m:oMath>
        <m:r>
          <m:rPr>
            <m:sty m:val="p"/>
          </m:rPr>
          <m:t>∼</m:t>
        </m:r>
      </m:oMath>
      <w:r>
        <w:t xml:space="preserve">15-22 h; Psi to</w:t>
      </w:r>
      <w:r>
        <w:t xml:space="preserve"> </w:t>
      </w:r>
      <m:oMath>
        <m:r>
          <m:rPr>
            <m:sty m:val="p"/>
          </m:rPr>
          <m:t>∼</m:t>
        </m:r>
      </m:oMath>
      <w:r>
        <w:t xml:space="preserve">20-30 h. Six-compartment vs two-compartment comparison (</w:t>
      </w:r>
      <m:oMath>
        <m:r>
          <m:rPr>
            <m:sty m:val="p"/>
          </m:rPr>
          <m:t>Δ</m:t>
        </m:r>
      </m:oMath>
      <w:r>
        <w:t xml:space="preserve">BIC = 3.2). Endosomal escape bottleneck: 2-4% reaches cytoplasm.</w:t>
      </w:r>
    </w:p>
    <w:bookmarkEnd w:id="30"/>
    <w:bookmarkStart w:id="31" w:name="immunogenicity"/>
    <w:p>
      <w:pPr>
        <w:pStyle w:val="Heading2"/>
      </w:pPr>
      <w:r>
        <w:t xml:space="preserve">Immunogenicity</w:t>
      </w:r>
    </w:p>
    <w:p>
      <w:pPr>
        <w:pStyle w:val="FirstParagraph"/>
      </w:pPr>
      <w:r>
        <w:t xml:space="preserve">Spearman</w:t>
      </w:r>
      <w:r>
        <w:t xml:space="preserve"> </w:t>
      </w:r>
      <m:oMath>
        <m:r>
          <m:t>r</m:t>
        </m:r>
        <m:r>
          <m:rPr>
            <m:sty m:val="p"/>
          </m:rPr>
          <m:t>=</m:t>
        </m:r>
        <m:r>
          <m:t>0.91</m:t>
        </m:r>
      </m:oMath>
      <w:r>
        <w:t xml:space="preserve"> </w:t>
      </w:r>
      <w:r>
        <w:t xml:space="preserve">[CI 0.55-0.99] with Chen et al.</w:t>
      </w:r>
      <w:r>
        <w:t xml:space="preserve"> </w:t>
      </w:r>
      <w:r>
        <w:t xml:space="preserve"> </w:t>
      </w:r>
      <w:r>
        <w:t xml:space="preserve">IFN-</w:t>
      </w:r>
      <m:oMath>
        <m:r>
          <m:t>β</m:t>
        </m:r>
      </m:oMath>
      <w:r>
        <w:t xml:space="preserve"> </w:t>
      </w:r>
      <w:r>
        <w:t xml:space="preserve">(</w:t>
      </w:r>
      <m:oMath>
        <m:r>
          <m:t>N</m:t>
        </m:r>
        <m:r>
          <m:rPr>
            <m:sty m:val="p"/>
          </m:rPr>
          <m:t>=</m:t>
        </m:r>
        <m:r>
          <m:t>7</m:t>
        </m:r>
      </m:oMath>
      <w:r>
        <w:t xml:space="preserve">). HEK293:</w:t>
      </w:r>
      <w:r>
        <w:t xml:space="preserve"> </w:t>
      </w:r>
      <m:oMath>
        <m:r>
          <m:t>r</m:t>
        </m:r>
        <m:r>
          <m:rPr>
            <m:sty m:val="p"/>
          </m:rPr>
          <m:t>=</m:t>
        </m:r>
        <m:r>
          <m:t>0.68</m:t>
        </m:r>
      </m:oMath>
      <w:r>
        <w:t xml:space="preserve"> </w:t>
      </w:r>
      <w:r>
        <w:t xml:space="preserve">[CI 0.26-0.88] (</w:t>
      </w:r>
      <m:oMath>
        <m:r>
          <m:t>N</m:t>
        </m:r>
        <m:r>
          <m:rPr>
            <m:sty m:val="p"/>
          </m:rPr>
          <m:t>=</m:t>
        </m:r>
        <m:r>
          <m:t>15</m:t>
        </m:r>
      </m:oMath>
      <w:r>
        <w:t xml:space="preserve">). 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BIC = 7.4). MDA5/dsRNA pathway contributes most.</w:t>
      </w:r>
    </w:p>
    <w:bookmarkEnd w:id="31"/>
    <w:bookmarkStart w:id="32" w:name="confluencia-hub"/>
    <w:p>
      <w:pPr>
        <w:pStyle w:val="Heading2"/>
      </w:pPr>
      <w:r>
        <w:t xml:space="preserve">Confluencia Hub</w:t>
      </w:r>
    </w:p>
    <w:p>
      <w:pPr>
        <w:pStyle w:val="FirstParagraph"/>
      </w:pPr>
      <w:r>
        <w:t xml:space="preserve">(A federated confluence point for model weights, not a passive data repository. Server infrastructure planned; local caching operational.)</w:t>
      </w:r>
    </w:p>
    <w:p>
      <w:pPr>
        <w:pStyle w:val="BodyText"/>
      </w:pPr>
      <w:r>
        <w:t xml:space="preserve">Federated model sharing API (specification; local caching currently operational, server deployment planned). Users cache trained weights locally (joblib). API design: ‘hub.push_model(bundle, strip_env_medians=True)‘. SHA256 verification. Addresses small-sample problem through community aggregation (pending server deployment).</w:t>
      </w:r>
    </w:p>
    <w:bookmarkEnd w:id="32"/>
    <w:bookmarkStart w:id="34" w:name="Xf140e7fa699b15dac10009ac83a666643e13514"/>
    <w:p>
      <w:pPr>
        <w:pStyle w:val="Heading2"/>
      </w:pPr>
      <w:r>
        <w:t xml:space="preserve">TNBC circRNA Cancer Vaccine: IGEM Collaboration</w:t>
      </w:r>
    </w:p>
    <w:p>
      <w:pPr>
        <w:pStyle w:val="FirstParagraph"/>
      </w:pPr>
      <w:r>
        <w:t xml:space="preserve">Confluencia 3.0 guided circRNA sequence selection for a TNBC cancer vaccine in collaboration with The First Bethune Hospital of Jilin University (FBHJU) as part of the 2025 IGEM competition. The FBHJU wet-lab team is synthesizing and testing sequences ranked by the platform.</w:t>
      </w:r>
    </w:p>
    <w:p>
      <w:pPr>
        <w:pStyle w:val="BodyText"/>
      </w:pPr>
      <w:r>
        <w:rPr>
          <w:b/>
          <w:bCs/>
        </w:rPr>
        <w:t xml:space="preserve">Workflow.</w:t>
      </w:r>
      <w:r>
        <w:t xml:space="preserve"> </w:t>
      </w:r>
      <w:r>
        <w:t xml:space="preserve">(1) Confluencia scored 50 candidate circRNA sequences across four dimensions: PK (CirculaPK-predicted half-life and protein expression), immunogenicity (pathway-resolved score), drug payload efficacy (ADMET screening), and circRNA functional assessment (IRES context, modification selection). (2) RL-ABM optimization ran 500 episodes with TNBC-IM subtype reward. (3) Top-5 and bottom-5 sequences were selected for wet-lab validation.</w:t>
      </w:r>
    </w:p>
    <w:p>
      <w:pPr>
        <w:pStyle w:val="BodyText"/>
      </w:pPr>
      <w:r>
        <w:rPr>
          <w:b/>
          <w:bCs/>
        </w:rPr>
        <w:t xml:space="preserve">Computational predictions.</w:t>
      </w:r>
      <w:r>
        <w:t xml:space="preserve"> </w:t>
      </w:r>
      <w:r>
        <w:t xml:space="preserve">Platform rankings for the 10 selected sequences:</w:t>
      </w:r>
    </w:p>
    <w:bookmarkStart w:id="33" w:name="tab:igem_validation"/>
    <w:p>
      <w:pPr>
        <w:pStyle w:val="TableCaption"/>
      </w:pPr>
      <w:r>
        <w:t xml:space="preserve">IGEM-FBHJU computational predictions and pending wet-lab validation</w:t>
      </w:r>
    </w:p>
    <w:tbl>
      <w:tblPr>
        <w:tblStyle w:val="Table"/>
        <w:tblW w:type="auto" w:w="0"/>
        <w:tblLook w:firstRow="1" w:lastRow="0" w:firstColumn="0" w:lastColumn="0" w:noHBand="0" w:noVBand="0" w:val="0020"/>
        <w:tblCaption w:val="IGEM-FBHJU computational predictions and pending wet-lab validation"/>
      </w:tblPr>
      <w:tblGrid>
        <w:gridCol w:w="1320"/>
        <w:gridCol w:w="1320"/>
        <w:gridCol w:w="1320"/>
        <w:gridCol w:w="1320"/>
        <w:gridCol w:w="1320"/>
        <w:gridCol w:w="1320"/>
      </w:tblGrid>
      <w:tr>
        <w:trPr>
          <w:tblHeader w:val="on"/>
        </w:trPr>
        <w:tc>
          <w:tcPr/>
          <w:p>
            <w:pPr>
              <w:pStyle w:val="Compact"/>
              <w:jc w:val="left"/>
            </w:pPr>
            <w:r>
              <w:rPr>
                <w:b/>
                <w:bCs/>
              </w:rPr>
              <w:t xml:space="preserve">Seq</w:t>
            </w:r>
          </w:p>
        </w:tc>
        <w:tc>
          <w:tcPr/>
          <w:p>
            <w:pPr>
              <w:pStyle w:val="Compact"/>
              <w:jc w:val="center"/>
            </w:pPr>
            <w:r>
              <w:rPr>
                <w:b/>
                <w:bCs/>
              </w:rPr>
              <w:t xml:space="preserve">Rank</w:t>
            </w:r>
          </w:p>
        </w:tc>
        <w:tc>
          <w:tcPr/>
          <w:p>
            <w:pPr>
              <w:pStyle w:val="Compact"/>
              <w:jc w:val="center"/>
            </w:pPr>
            <w:r>
              <w:rPr>
                <w:b/>
                <w:bCs/>
              </w:rPr>
              <w:t xml:space="preserve">Pred. Half-life (h)</w:t>
            </w:r>
          </w:p>
        </w:tc>
        <w:tc>
          <w:tcPr/>
          <w:p>
            <w:pPr>
              <w:pStyle w:val="Compact"/>
              <w:jc w:val="center"/>
            </w:pPr>
            <w:r>
              <w:rPr>
                <w:b/>
                <w:bCs/>
              </w:rPr>
              <w:t xml:space="preserve">Pred. Immuno.</w:t>
            </w:r>
          </w:p>
        </w:tc>
        <w:tc>
          <w:tcPr/>
          <w:p>
            <w:pPr>
              <w:pStyle w:val="Compact"/>
              <w:jc w:val="center"/>
            </w:pPr>
            <w:r>
              <w:rPr>
                <w:b/>
                <w:bCs/>
              </w:rPr>
              <w:t xml:space="preserve">IRES Context</w:t>
            </w:r>
          </w:p>
        </w:tc>
        <w:tc>
          <w:tcPr/>
          <w:p>
            <w:pPr>
              <w:pStyle w:val="Compact"/>
              <w:jc w:val="center"/>
            </w:pPr>
            <w:r>
              <w:rPr>
                <w:b/>
                <w:bCs/>
              </w:rPr>
              <w:t xml:space="preserve">Modification</w:t>
            </w:r>
          </w:p>
        </w:tc>
      </w:tr>
      <w:tr>
        <w:tc>
          <w:tcPr/>
          <w:p>
            <w:pPr>
              <w:pStyle w:val="Compact"/>
              <w:jc w:val="left"/>
            </w:pPr>
            <w:r>
              <w:t xml:space="preserve">Top-1</w:t>
            </w:r>
          </w:p>
        </w:tc>
        <w:tc>
          <w:tcPr/>
          <w:p>
            <w:pPr>
              <w:pStyle w:val="Compact"/>
              <w:jc w:val="center"/>
            </w:pPr>
            <w:r>
              <w:t xml:space="preserve">1</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Top-2</w:t>
            </w:r>
          </w:p>
        </w:tc>
        <w:tc>
          <w:tcPr/>
          <w:p>
            <w:pPr>
              <w:pStyle w:val="Compact"/>
              <w:jc w:val="center"/>
            </w:pPr>
            <w:r>
              <w:t xml:space="preserve">2</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Top-3</w:t>
            </w:r>
          </w:p>
        </w:tc>
        <w:tc>
          <w:tcPr/>
          <w:p>
            <w:pPr>
              <w:pStyle w:val="Compact"/>
              <w:jc w:val="center"/>
            </w:pPr>
            <w:r>
              <w:t xml:space="preserve">3</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Top-4</w:t>
            </w:r>
          </w:p>
        </w:tc>
        <w:tc>
          <w:tcPr/>
          <w:p>
            <w:pPr>
              <w:pStyle w:val="Compact"/>
              <w:jc w:val="center"/>
            </w:pPr>
            <w:r>
              <w:t xml:space="preserve">4</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Top-5</w:t>
            </w:r>
          </w:p>
        </w:tc>
        <w:tc>
          <w:tcPr/>
          <w:p>
            <w:pPr>
              <w:pStyle w:val="Compact"/>
              <w:jc w:val="center"/>
            </w:pPr>
            <w:r>
              <w:t xml:space="preserve">5</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Bottom-1</w:t>
            </w:r>
          </w:p>
        </w:tc>
        <w:tc>
          <w:tcPr/>
          <w:p>
            <w:pPr>
              <w:pStyle w:val="Compact"/>
              <w:jc w:val="center"/>
            </w:pPr>
            <w:r>
              <w:t xml:space="preserve">46</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Bottom-2</w:t>
            </w:r>
          </w:p>
        </w:tc>
        <w:tc>
          <w:tcPr/>
          <w:p>
            <w:pPr>
              <w:pStyle w:val="Compact"/>
              <w:jc w:val="center"/>
            </w:pPr>
            <w:r>
              <w:t xml:space="preserve">47</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Bottom-3</w:t>
            </w:r>
          </w:p>
        </w:tc>
        <w:tc>
          <w:tcPr/>
          <w:p>
            <w:pPr>
              <w:pStyle w:val="Compact"/>
              <w:jc w:val="center"/>
            </w:pPr>
            <w:r>
              <w:t xml:space="preserve">48</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Bottom-4</w:t>
            </w:r>
          </w:p>
        </w:tc>
        <w:tc>
          <w:tcPr/>
          <w:p>
            <w:pPr>
              <w:pStyle w:val="Compact"/>
              <w:jc w:val="center"/>
            </w:pPr>
            <w:r>
              <w:t xml:space="preserve">49</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Bottom-5</w:t>
            </w:r>
          </w:p>
        </w:tc>
        <w:tc>
          <w:tcPr/>
          <w:p>
            <w:pPr>
              <w:pStyle w:val="Compact"/>
              <w:jc w:val="center"/>
            </w:pPr>
            <w:r>
              <w:t xml:space="preserve">50</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bl>
    <w:bookmarkEnd w:id="33"/>
    <w:p>
      <w:pPr>
        <w:pStyle w:val="BodyText"/>
      </w:pPr>
      <w:r>
        <w:rPr>
          <w:b/>
          <w:bCs/>
        </w:rPr>
        <w:t xml:space="preserve">Wet-lab validation (FBHJU, pending).</w:t>
      </w:r>
      <w:r>
        <w:t xml:space="preserve"> </w:t>
      </w:r>
      <w:r>
        <w:t xml:space="preserve">Sequences synthesized via enzymatic ligation, purified by RNase R treatment, delivered via LNP to MDA-MB-231 (BLIS) and HCC1937 (IM) TNBC cell lines. Readouts: IFN-</w:t>
      </w:r>
      <m:oMath>
        <m:r>
          <m:t>β</m:t>
        </m:r>
      </m:oMath>
      <w:r>
        <w:t xml:space="preserve"> </w:t>
      </w:r>
      <w:r>
        <w:t xml:space="preserve">ELISA, qRT-PCR half-life, Western blot antigen expression. Results to be reported in follow-up. With</w:t>
      </w:r>
      <w:r>
        <w:t xml:space="preserve"> </w:t>
      </w:r>
      <m:oMath>
        <m:r>
          <m:t>N</m:t>
        </m:r>
        <m:r>
          <m:rPr>
            <m:sty m:val="p"/>
          </m:rPr>
          <m:t>=</m:t>
        </m:r>
        <m:r>
          <m:t>10</m:t>
        </m:r>
      </m:oMath>
      <w:r>
        <w:t xml:space="preserve"> </w:t>
      </w:r>
      <w:r>
        <w:t xml:space="preserve">sequences, rank correlation between platform predictions and experimental measurements will be assessed via Spearman</w:t>
      </w:r>
      <w:r>
        <w:t xml:space="preserve"> </w:t>
      </w:r>
      <m:oMath>
        <m:r>
          <m:t>ρ</m:t>
        </m:r>
      </m:oMath>
      <w:r>
        <w:t xml:space="preserve">, acknowledging limited power at this sample size.</w:t>
      </w:r>
    </w:p>
    <w:p>
      <w:pPr>
        <w:pStyle w:val="BodyText"/>
      </w:pPr>
      <w:r>
        <w:rPr>
          <w:b/>
          <w:bCs/>
        </w:rPr>
        <w:t xml:space="preserve">TNBC Subtype Simulation (consistency check).</w:t>
      </w:r>
      <w:r>
        <w:t xml:space="preserve"> </w:t>
      </w: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Parameter-swap confirms these outcomes reflect input parameterization, not novel predictions. Shannon diversity increases from 0.4 to 1.2 under chemotherapy.</w:t>
      </w:r>
    </w:p>
    <w:bookmarkEnd w:id="34"/>
    <w:bookmarkEnd w:id="35"/>
    <w:bookmarkStart w:id="46" w:name="discussion"/>
    <w:p>
      <w:pPr>
        <w:pStyle w:val="Heading1"/>
      </w:pPr>
      <w:r>
        <w:t xml:space="preserve">Discussion</w:t>
      </w:r>
    </w:p>
    <w:p>
      <w:pPr>
        <w:pStyle w:val="FirstParagraph"/>
      </w:pPr>
      <w:r>
        <w:t xml:space="preserve">While designed with future data accumulation in mind (via the Hub and TorusFold), Confluencia 3.0 works now as a computational platform for circRNA design. Its modular EventBus architecture lets users replace any component as methods evolve.</w:t>
      </w:r>
    </w:p>
    <w:bookmarkStart w:id="40"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Verified architecture with empirical support:</w:t>
      </w:r>
    </w:p>
    <w:p>
      <w:pPr>
        <w:numPr>
          <w:ilvl w:val="0"/>
          <w:numId w:val="1004"/>
        </w:numPr>
      </w:pPr>
      <w:r>
        <w:rPr>
          <w:b/>
          <w:bCs/>
        </w:rPr>
        <w:t xml:space="preserve">TorusFold: circular topology-aware positional encoding.</w:t>
      </w:r>
      <w:r>
        <w:t xml:space="preserve"> </w:t>
      </w:r>
      <w:r>
        <w:t xml:space="preserve">TPE periodicity is verified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is verified, and embedding distance analysis on 30 sequences confirms TPE correlates with circular distance (</w:t>
      </w:r>
      <m:oMath>
        <m:r>
          <m:t>r</m:t>
        </m:r>
        <m:r>
          <m:rPr>
            <m:sty m:val="p"/>
          </m:rPr>
          <m:t>=</m:t>
        </m:r>
        <m:r>
          <m:t>0.882</m:t>
        </m:r>
      </m:oMath>
      <w:r>
        <w:t xml:space="preserve"> </w:t>
      </w:r>
      <w:r>
        <w:t xml:space="preserve">[CI 0.75-0.95]) while standard PE correlates with linear distance (</w:t>
      </w:r>
      <m:oMath>
        <m:r>
          <m:t>r</m:t>
        </m:r>
        <m:r>
          <m:rPr>
            <m:sty m:val="p"/>
          </m:rPr>
          <m:t>=</m:t>
        </m:r>
        <m:r>
          <m:t>0.933</m:t>
        </m:r>
      </m:oMath>
      <w:r>
        <w:t xml:space="preserve"> </w:t>
      </w:r>
      <w:r>
        <w:t xml:space="preserve">[CI 0.85-0.97]). Note: this validates the encoding property, not downstream 3D structure prediction. Pair head awaits circRNA-CASP data.</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scored separately. Pathway decomposition improves over GC-only baseline (</w:t>
      </w:r>
      <m:oMath>
        <m:r>
          <m:rPr>
            <m:sty m:val="p"/>
          </m:rPr>
          <m:t>Δ</m:t>
        </m:r>
      </m:oMath>
      <w:r>
        <w:t xml:space="preserve">BIC = 7.4,</w:t>
      </w:r>
      <w:r>
        <w:t xml:space="preserve"> </w:t>
      </w:r>
      <m:oMath>
        <m:r>
          <m:t>N</m:t>
        </m:r>
        <m:r>
          <m:rPr>
            <m:sty m:val="p"/>
          </m:rPr>
          <m:t>=</m:t>
        </m:r>
        <m:r>
          <m:t>50</m:t>
        </m:r>
      </m:oMath>
      <w:r>
        <w:t xml:space="preserve">). Note: Chen et al.</w:t>
      </w:r>
      <w:r>
        <w:t xml:space="preserve"> </w:t>
      </w:r>
      <w:r>
        <w:t xml:space="preserve"> </w:t>
      </w:r>
      <w:r>
        <w:t xml:space="preserve">provided both the mechanistic insight (dsRNA backbone sensing) and the validation data (IFN-</w:t>
      </w:r>
      <m:oMath>
        <m:r>
          <m:t>β</m:t>
        </m:r>
      </m:oMath>
      <w:r>
        <w:t xml:space="preserve"> </w:t>
      </w:r>
      <w:r>
        <w:t xml:space="preserve">measurements), so the</w:t>
      </w:r>
      <w:r>
        <w:t xml:space="preserve"> </w:t>
      </w:r>
      <m:oMath>
        <m:r>
          <m:t>r</m:t>
        </m:r>
        <m:r>
          <m:rPr>
            <m:sty m:val="p"/>
          </m:rPr>
          <m:t>=</m:t>
        </m:r>
        <m:r>
          <m:t>0.91</m:t>
        </m:r>
      </m:oMath>
      <w:r>
        <w:t xml:space="preserve"> </w:t>
      </w:r>
      <w:r>
        <w:t xml:space="preserve">[CI 0.55-0.99] correlation partially reflects circular reasoning. Independent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provides external check.</w:t>
      </w:r>
    </w:p>
    <w:p>
      <w:pPr>
        <w:numPr>
          <w:ilvl w:val="0"/>
          <w:numId w:val="1004"/>
        </w:numPr>
      </w:pPr>
      <w:r>
        <w:rPr>
          <w:b/>
          <w:bCs/>
        </w:rPr>
        <w:t xml:space="preserve">Six-compartment PK framework (not novel model).</w:t>
      </w:r>
      <w:r>
        <w:t xml:space="preserve"> </w:t>
      </w:r>
      <w:r>
        <w:t xml:space="preserve">The compartment structure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adapts standard PK models with circRNA-specific rate adjustments. The contribution is integration and parameterization, not architectural novelty. 12% error [CI 3-21%] vs Wesselhoeft 2018 (</w:t>
      </w:r>
      <m:oMath>
        <m:r>
          <m:t>N</m:t>
        </m:r>
        <m:r>
          <m:rPr>
            <m:sty m:val="p"/>
          </m:rPr>
          <m:t>=</m:t>
        </m:r>
        <m:r>
          <m:t>4</m:t>
        </m:r>
      </m:oMath>
      <w:r>
        <w:t xml:space="preserve">).</w:t>
      </w:r>
    </w:p>
    <w:p>
      <w:pPr>
        <w:pStyle w:val="FirstParagraph"/>
      </w:pPr>
      <w:r>
        <w:rPr>
          <w:b/>
          <w:bCs/>
        </w:rPr>
        <w:t xml:space="preserve">(B) Implemented features requiring validation:</w:t>
      </w:r>
    </w:p>
    <w:p>
      <w:pPr>
        <w:numPr>
          <w:ilvl w:val="0"/>
          <w:numId w:val="1005"/>
        </w:numPr>
      </w:pPr>
      <w:r>
        <w:rPr>
          <w:b/>
          <w:bCs/>
        </w:rPr>
        <w:t xml:space="preserve">Differential m6A suppression modeling.</w:t>
      </w:r>
      <w:r>
        <w:t xml:space="preserve"> </w:t>
      </w:r>
      <w:r>
        <w:t xml:space="preserve">Pathway-specific m6A suppression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Values are uncalibrated placeholders; experimental calibration is required before clinical use.</w:t>
      </w:r>
    </w:p>
    <w:p>
      <w:pPr>
        <w:numPr>
          <w:ilvl w:val="0"/>
          <w:numId w:val="1005"/>
        </w:numPr>
      </w:pPr>
      <w:r>
        <w:rPr>
          <w:b/>
          <w:bCs/>
        </w:rPr>
        <w:t xml:space="preserve">Spatial TME simulation.</w:t>
      </w:r>
      <w:r>
        <w:t xml:space="preserve"> </w:t>
      </w:r>
      <w:r>
        <w:t xml:space="preserve">Nine immune cell populations, six cytokines, PD-1/PD-L1 checkpoint dynamics, three spatial compartments. Implementation of Jiang 2019 subtype stratification with spatial extension.</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w:t>
      </w:r>
    </w:p>
    <w:p>
      <w:pPr>
        <w:numPr>
          <w:ilvl w:val="0"/>
          <w:numId w:val="1005"/>
        </w:numPr>
      </w:pPr>
      <w:r>
        <w:rPr>
          <w:b/>
          <w:bCs/>
        </w:rPr>
        <w:t xml:space="preserve">Drug ADMET with SOTA backends.</w:t>
      </w:r>
      <w:r>
        <w:t xml:space="preserve"> </w:t>
      </w:r>
      <w:r>
        <w:t xml:space="preserve">Rule-based patient-specific ADMET scoring. The EventBus architecture lets users swap to external SOTA tools: ADMETlab 3.0</w:t>
      </w:r>
      <w:r>
        <w:t xml:space="preserve"> </w:t>
      </w:r>
      <w:r>
        <w:t xml:space="preserve"> </w:t>
      </w:r>
      <w:r>
        <w:t xml:space="preserve">for endpoint prediction, ChEMBL API for experimental data. Internal model provides offline defaults; external backends provide higher accuracy when network is available.</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Enhancement component is hypothetical.</w:t>
      </w:r>
    </w:p>
    <w:bookmarkStart w:id="39" w:name="fig:torusfold"/>
    <w:p>
      <w:pPr>
        <w:pStyle w:val="CaptionedFigure"/>
      </w:pPr>
      <w:r>
        <w:drawing>
          <wp:inline>
            <wp:extent cx="4533900" cy="4684734"/>
            <wp:effectExtent b="0" l="0" r="0" t="0"/>
            <wp:docPr descr="" title="" id="37" name="Picture"/>
            <a:graphic>
              <a:graphicData uri="http://schemas.openxmlformats.org/drawingml/2006/picture">
                <pic:pic>
                  <pic:nvPicPr>
                    <pic:cNvPr descr="fig6_torusfold_architecture.pdf" id="38" name="Picture"/>
                    <pic:cNvPicPr>
                      <a:picLocks noChangeArrowheads="1" noChangeAspect="1"/>
                    </pic:cNvPicPr>
                  </pic:nvPicPr>
                  <pic:blipFill>
                    <a:blip r:embed="rId36"/>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embedding distance analysis shows TPE correlates with circular distance (</w:t>
      </w:r>
      <m:oMath>
        <m:r>
          <m:t>r</m:t>
        </m:r>
        <m:r>
          <m:rPr>
            <m:sty m:val="p"/>
          </m:rPr>
          <m:t>=</m:t>
        </m:r>
        <m:r>
          <m:t>0.882</m:t>
        </m:r>
      </m:oMath>
      <w:r>
        <w:t xml:space="preserve">). Under current data scarcity, operates in physics-constraint fallback mode; learning-based pair head provides architectural interface for future circRNA 3D structure data.</w:t>
      </w:r>
    </w:p>
    <w:bookmarkEnd w:id="39"/>
    <w:p>
      <w:pPr>
        <w:pStyle w:val="BodyText"/>
      </w:pPr>
      <w:r>
        <w:rPr>
          <w:b/>
          <w:bCs/>
        </w:rPr>
        <w:t xml:space="preserve">(D) Software and community infrastructure:</w:t>
      </w:r>
    </w:p>
    <w:p>
      <w:pPr>
        <w:numPr>
          <w:ilvl w:val="0"/>
          <w:numId w:val="1006"/>
        </w:numPr>
      </w:pPr>
      <w:r>
        <w:rPr>
          <w:b/>
          <w:bCs/>
        </w:rPr>
        <w:t xml:space="preserve">Integrated event-driven framework with pluggable SOTA backends.</w:t>
      </w:r>
      <w:r>
        <w:t xml:space="preserve"> </w:t>
      </w:r>
      <w:r>
        <w:t xml:space="preserve">EventBus with 18+ event types couples subsystems. Users can call external SOTA tools without modifying code: ViennaRNA for structure (AUC  0.85 on RNA secondary structure), ADMETlab 3.0 for ADMET (AUC 0.88-0.95 across endpoints), or replace internal models with custom implementations. This design prioritizes research flexibility: internal models ensure offline availability and speed; external backends provide higher accuracy when network is available.</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p>
      <w:pPr>
        <w:pStyle w:val="FirstParagraph"/>
      </w:pPr>
      <w:r>
        <w:rPr>
          <w:b/>
          <w:bCs/>
        </w:rPr>
        <w:t xml:space="preserve">Integration Ecosystem.</w:t>
      </w:r>
      <w:r>
        <w:t xml:space="preserve"> </w:t>
      </w:r>
      <w:r>
        <w:t xml:space="preserve">The platform uses established external tools via lazy-loading bridges: ViennaRNA for thermodynamic structure prediction (TorusFold as theoretical extension), PK-Sim or physiologically-based PK via EventBus subscription. New methods can replace existing implementations by subscribing to the same events without modifying other subsystems.</w:t>
      </w:r>
    </w:p>
    <w:bookmarkEnd w:id="40"/>
    <w:bookmarkStart w:id="41" w:name="what-remains-unvalidated"/>
    <w:p>
      <w:pPr>
        <w:pStyle w:val="Heading2"/>
      </w:pPr>
      <w:r>
        <w:t xml:space="preserve">What Remains Unvalidated</w:t>
      </w:r>
    </w:p>
    <w:p>
      <w:pPr>
        <w:numPr>
          <w:ilvl w:val="0"/>
          <w:numId w:val="1007"/>
        </w:numPr>
      </w:pPr>
      <w:r>
        <w:rPr>
          <w:b/>
          <w:bCs/>
        </w:rPr>
        <w:t xml:space="preserve">TNBC simulation.</w:t>
      </w:r>
      <w:r>
        <w:t xml:space="preserve"> </w:t>
      </w:r>
      <w:r>
        <w:t xml:space="preserve">No TCGA/METABRIC validation. Parameter-swap experiment confirms circular dependency.</w:t>
      </w:r>
    </w:p>
    <w:p>
      <w:pPr>
        <w:numPr>
          <w:ilvl w:val="0"/>
          <w:numId w:val="1007"/>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7"/>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41"/>
    <w:bookmarkStart w:id="42" w:name="the-circrna-data-challenge"/>
    <w:p>
      <w:pPr>
        <w:pStyle w:val="Heading2"/>
      </w:pPr>
      <w:r>
        <w:t xml:space="preserve">The circRNA Data Challenge</w:t>
      </w:r>
    </w:p>
    <w:p>
      <w:pPr>
        <w:pStyle w:val="FirstParagraph"/>
      </w:pPr>
      <w:r>
        <w:t xml:space="preserve">No circRNA crystal structures exist in PDB. Fewer than two dozen structural annotations appear in literature. We designed TorusFold to exist before the data. TPE’s mathematical properties are verified. Proxy experiments demonstrate utility. The pair head awaits circRNA 3D data. We propose circRNA-CASP as community validation, analogous to CASP for proteins. Because no data exists, architectures like TorusFold are needed to define what circRNA structure prediction should look like.</w:t>
      </w:r>
    </w:p>
    <w:bookmarkEnd w:id="42"/>
    <w:bookmarkStart w:id="44" w:name="power-analysis"/>
    <w:p>
      <w:pPr>
        <w:pStyle w:val="Heading2"/>
      </w:pPr>
      <w:r>
        <w:t xml:space="preserve">Power Analysis</w:t>
      </w:r>
    </w:p>
    <w:p>
      <w:pPr>
        <w:pStyle w:val="FirstParagraph"/>
      </w:pPr>
      <w:r>
        <w:t xml:space="preserve">Current sample sizes are insufficient for definitive validation. Required sample sizes:</w:t>
      </w:r>
    </w:p>
    <w:bookmarkStart w:id="43"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BIC=3.2 (medium)</w:t>
            </w:r>
          </w:p>
        </w:tc>
      </w:tr>
    </w:tbl>
    <w:bookmarkEnd w:id="43"/>
    <w:bookmarkEnd w:id="44"/>
    <w:bookmarkStart w:id="45"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(server deployment planned) would enable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5"/>
    <w:bookmarkEnd w:id="46"/>
    <w:bookmarkStart w:id="47" w:name="limitations"/>
    <w:p>
      <w:pPr>
        <w:pStyle w:val="Heading1"/>
      </w:pPr>
      <w:r>
        <w:t xml:space="preserve">Limitations</w:t>
      </w:r>
    </w:p>
    <w:p>
      <w:pPr>
        <w:pStyle w:val="FirstParagraph"/>
      </w:pPr>
      <w:r>
        <w:rPr>
          <w:b/>
          <w:bCs/>
        </w:rPr>
        <w:t xml:space="preserve">Sample sizes.</w:t>
      </w:r>
      <w:r>
        <w:t xml:space="preserve"> </w:t>
      </w:r>
      <w:r>
        <w:t xml:space="preserve">Current sample sizes reflect circRNA data scarcity:</w:t>
      </w:r>
      <w:r>
        <w:t xml:space="preserve"> </w:t>
      </w:r>
      <m:oMath>
        <m:r>
          <m:t>N</m:t>
        </m:r>
        <m:r>
          <m:rPr>
            <m:sty m:val="p"/>
          </m:rPr>
          <m:t>=</m:t>
        </m:r>
        <m:r>
          <m:t>7</m:t>
        </m:r>
      </m:oMath>
      <w:r>
        <w:t xml:space="preserve"> </w:t>
      </w:r>
      <w:r>
        <w:t xml:space="preserve">immunogenicity,</w:t>
      </w:r>
      <w:r>
        <w:t xml:space="preserve"> </w:t>
      </w:r>
      <m:oMath>
        <m:r>
          <m:t>N</m:t>
        </m:r>
        <m:r>
          <m:rPr>
            <m:sty m:val="p"/>
          </m:rPr>
          <m:t>=</m:t>
        </m:r>
        <m:r>
          <m:t>4</m:t>
        </m:r>
      </m:oMath>
      <w:r>
        <w:t xml:space="preserve"> </w:t>
      </w:r>
      <w:r>
        <w:t xml:space="preserve">PK. We encourage readers to interpret the</w:t>
      </w:r>
      <w:r>
        <w:t xml:space="preserve"> </w:t>
      </w:r>
      <m:oMath>
        <m:r>
          <m:t>N</m:t>
        </m:r>
        <m:r>
          <m:rPr>
            <m:sty m:val="p"/>
          </m:rPr>
          <m:t>=</m:t>
        </m:r>
        <m:r>
          <m:t>7</m:t>
        </m:r>
      </m:oMath>
      <w:r>
        <w:t xml:space="preserve"> </w:t>
      </w:r>
      <w:r>
        <w:t xml:space="preserve">and</w:t>
      </w:r>
      <w:r>
        <w:t xml:space="preserve"> </w:t>
      </w:r>
      <m:oMath>
        <m:r>
          <m:t>N</m:t>
        </m:r>
        <m:r>
          <m:rPr>
            <m:sty m:val="p"/>
          </m:rPr>
          <m:t>=</m:t>
        </m:r>
        <m:r>
          <m:t>4</m:t>
        </m:r>
      </m:oMath>
      <w:r>
        <w:t xml:space="preserve"> </w:t>
      </w:r>
      <w:r>
        <w:t xml:space="preserve">results as benchmarks for future community validation rather than definitive performance claims; Confluencia Hub (server planned) is designed to aggregate additional datasets.</w:t>
      </w:r>
    </w:p>
    <w:p>
      <w:pPr>
        <w:pStyle w:val="BodyText"/>
      </w:pPr>
      <w:r>
        <w:rPr>
          <w:b/>
          <w:bCs/>
        </w:rPr>
        <w:t xml:space="preserve">Immunogenicity.</w:t>
      </w:r>
      <w:r>
        <w:t xml:space="preserve"> </w:t>
      </w:r>
      <w:r>
        <w:t xml:space="preserve">We chose mechanism-based parameterization over deep learning due to data scarcity. This design prioritizes interpretability in the low-data regime. Pathway weights are literature-derived and stable in sensitivity analysis (20% rank inversion under weight variation).</w:t>
      </w:r>
      <w:r>
        <w:t xml:space="preserve"> </w:t>
      </w:r>
      <m:oMath>
        <m:r>
          <m:t>N</m:t>
        </m:r>
        <m:r>
          <m:rPr>
            <m:sty m:val="p"/>
          </m:rPr>
          <m:t>=</m:t>
        </m:r>
        <m:r>
          <m:t>7</m:t>
        </m:r>
      </m:oMath>
      <w:r>
        <w:t xml:space="preserve"> </w:t>
      </w:r>
      <w:r>
        <w:t xml:space="preserve">gives power</w:t>
      </w:r>
      <w:r>
        <w:t xml:space="preserve"> </w:t>
      </w:r>
      <m:oMath>
        <m:r>
          <m:rPr>
            <m:sty m:val="p"/>
          </m:rPr>
          <m:t>≈</m:t>
        </m:r>
      </m:oMath>
      <w:r>
        <w:t xml:space="preserve">0.35; CI for</w:t>
      </w:r>
      <w:r>
        <w:t xml:space="preserve"> </w:t>
      </w:r>
      <m:oMath>
        <m:r>
          <m:t>r</m:t>
        </m:r>
        <m:r>
          <m:rPr>
            <m:sty m:val="p"/>
          </m:rPr>
          <m:t>=</m:t>
        </m:r>
        <m:r>
          <m:t>0.91</m:t>
        </m:r>
      </m:oMath>
      <w:r>
        <w:t xml:space="preserve"> </w:t>
      </w:r>
      <w:r>
        <w:t xml:space="preserve">spans [0.55, 0.99]. Chen et al.</w:t>
      </w:r>
      <w:r>
        <w:t xml:space="preserve"> </w:t>
      </w:r>
      <w:r>
        <w:t xml:space="preserve"> </w:t>
      </w:r>
      <w:r>
        <w:t xml:space="preserve">provided both mechanistic insight and validation data, creating partial circularity. m6A suppression values are placeholders requiring experimental calibration before clinical use. Bidirectional m6A enhancement_weight is hypothetical.</w:t>
      </w:r>
    </w:p>
    <w:p>
      <w:pPr>
        <w:pStyle w:val="BodyText"/>
      </w:pPr>
      <w:r>
        <w:rPr>
          <w:b/>
          <w:bCs/>
        </w:rPr>
        <w:t xml:space="preserve">PK.</w:t>
      </w:r>
      <w:r>
        <w:t xml:space="preserve"> </w:t>
      </w:r>
      <m:oMath>
        <m:r>
          <m:t>N</m:t>
        </m:r>
        <m:r>
          <m:rPr>
            <m:sty m:val="p"/>
          </m:rPr>
          <m:t>=</m:t>
        </m:r>
        <m:r>
          <m:t>4</m:t>
        </m:r>
      </m:oMath>
      <w:r>
        <w:t xml:space="preserve"> </w:t>
      </w:r>
      <w:r>
        <w:t xml:space="preserve">cannot distinguish six-compartment from simpler models. PK rate constants are literature-derived, stable in sensitivity analysis.</w:t>
      </w:r>
    </w:p>
    <w:p>
      <w:pPr>
        <w:pStyle w:val="BodyText"/>
      </w:pPr>
      <w:r>
        <w:rPr>
          <w:b/>
          <w:bCs/>
        </w:rPr>
        <w:t xml:space="preserve">TorusFold.</w:t>
      </w:r>
      <w:r>
        <w:t xml:space="preserve"> </w:t>
      </w:r>
      <w:r>
        <w:t xml:space="preserve">Under data scarcity, operates in physics-constraint fallback mode; learning-based pair head provides architectural interface for future data. Harmonics</w:t>
      </w:r>
      <w:r>
        <w:t xml:space="preserve"> </w:t>
      </w:r>
      <m:oMath>
        <m:r>
          <m:t>H</m:t>
        </m:r>
      </m:oMath>
      <w:r>
        <w:t xml:space="preserve">=16 validated via sensitivity analysis (&lt;7% MSE variation across H=8-64).</w:t>
      </w:r>
    </w:p>
    <w:p>
      <w:pPr>
        <w:pStyle w:val="BodyText"/>
      </w:pPr>
      <w:r>
        <w:rPr>
          <w:b/>
          <w:bCs/>
        </w:rPr>
        <w:t xml:space="preserve">TNBC simulation.</w:t>
      </w:r>
      <w:r>
        <w:t xml:space="preserve"> </w:t>
      </w:r>
      <w:r>
        <w:t xml:space="preserve">Parameter-swap validates internal consistency. No TCGA/METABRIC external validation.</w:t>
      </w:r>
    </w:p>
    <w:p>
      <w:pPr>
        <w:pStyle w:val="BodyText"/>
      </w:pPr>
      <w:r>
        <w:rPr>
          <w:b/>
          <w:bCs/>
        </w:rPr>
        <w:t xml:space="preserve">RL-ABM reward.</w:t>
      </w:r>
      <w:r>
        <w:t xml:space="preserve"> </w:t>
      </w:r>
      <w:r>
        <w:t xml:space="preserve">Optimizer converges on simulator reward surface, not validated biological optima.</w:t>
      </w:r>
    </w:p>
    <w:p>
      <w:pPr>
        <w:pStyle w:val="BodyText"/>
      </w:pPr>
      <w:r>
        <w:rPr>
          <w:b/>
          <w:bCs/>
        </w:rPr>
        <w:t xml:space="preserve">All results are methodology benchmarks.</w:t>
      </w:r>
      <w:r>
        <w:t xml:space="preserve"> </w:t>
      </w:r>
      <w:r>
        <w:t xml:space="preserve">Simulated outcomes validate internal consistency, not external predictions. Wet-lab validation ongoing.</w:t>
      </w:r>
    </w:p>
    <w:bookmarkEnd w:id="47"/>
    <w:bookmarkStart w:id="48"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In collaboration with The First Bethune Hospital of Jilin University (FBHJU) as part of the 2025 IGEM competition, we are generating experimental data: (1) IFN-</w:t>
      </w:r>
      <m:oMath>
        <m:r>
          <m:t>β</m:t>
        </m:r>
      </m:oMath>
      <w:r>
        <w:t xml:space="preserve"> </w:t>
      </w:r>
      <w:r>
        <w:t xml:space="preserve">ELISA for platform-ranked circRNA sequences in HEK293 and MDA-MB-231 cells, (2) half-life quantification via qRT-PCR in MDA-MB-231 and HCC1937 TNBC cell lines, (3) antigen expression via Western blot for top-5 and bottom-5 ranked sequences. All protocols approved by institutional IRB. Results will be reported in follow-up publication.</w:t>
      </w:r>
    </w:p>
    <w:bookmarkEnd w:id="48"/>
    <w:bookmarkStart w:id="49"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local pytest 87% coverage.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8"/>
        </w:numPr>
      </w:pPr>
      <w:r>
        <w:rPr>
          <w:b/>
          <w:bCs/>
        </w:rPr>
        <w:t xml:space="preserve">Python API:</w:t>
      </w:r>
      <w:r>
        <w:t xml:space="preserve"> </w:t>
      </w:r>
      <w:r>
        <w:rPr>
          <w:rStyle w:val="VerbatimChar"/>
        </w:rPr>
        <w:t xml:space="preserve">import confluencia_3_0; confluencia_3_0.simulate(config)</w:t>
      </w:r>
    </w:p>
    <w:p>
      <w:pPr>
        <w:numPr>
          <w:ilvl w:val="0"/>
          <w:numId w:val="1008"/>
        </w:numPr>
      </w:pPr>
      <w:r>
        <w:rPr>
          <w:b/>
          <w:bCs/>
        </w:rPr>
        <w:t xml:space="preserve">Streamlit web UI:</w:t>
      </w:r>
      <w:r>
        <w:t xml:space="preserve"> </w:t>
      </w:r>
      <w:r>
        <w:rPr>
          <w:rStyle w:val="VerbatimChar"/>
        </w:rPr>
        <w:t xml:space="preserve">streamlit run confluencia-studio/streamlit_app/Home.py</w:t>
      </w:r>
      <w:r>
        <w:t xml:space="preserve"> </w:t>
      </w:r>
      <w:r>
        <w:t xml:space="preserve">(5 pages: CircRNA Analysis, Drug Prediction, TNBC Simulator, Joint Analysis, Report Export)</w:t>
      </w:r>
    </w:p>
    <w:p>
      <w:pPr>
        <w:numPr>
          <w:ilvl w:val="0"/>
          <w:numId w:val="1008"/>
        </w:numPr>
      </w:pPr>
      <w:r>
        <w:rPr>
          <w:b/>
          <w:bCs/>
        </w:rPr>
        <w:t xml:space="preserve">CLI:</w:t>
      </w:r>
      <w:r>
        <w:t xml:space="preserve"> </w:t>
      </w:r>
      <w:r>
        <w:rPr>
          <w:rStyle w:val="VerbatimChar"/>
        </w:rPr>
        <w:t xml:space="preserve">confluencia simulate --subtype IM --steps 100</w:t>
      </w:r>
    </w:p>
    <w:p>
      <w:pPr>
        <w:numPr>
          <w:ilvl w:val="0"/>
          <w:numId w:val="1008"/>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8"/>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(specification; local caching operational, server deployment planned).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49"/>
    <w:bookmarkStart w:id="50"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p>
      <w:pPr>
        <w:pStyle w:val="BodyText"/>
      </w:pPr>
      <w:r>
        <w:t xml:space="preserve">Su J, et al.</w:t>
      </w:r>
      <w:r>
        <w:t xml:space="preserve"> </w:t>
      </w:r>
      <w:r>
        <w:t xml:space="preserve">RoFormer: Enhanced Transformer with Rotary Position Embedding.</w:t>
      </w:r>
      <w:r>
        <w:t xml:space="preserve"> </w:t>
      </w:r>
      <w:r>
        <w:rPr>
          <w:i/>
          <w:iCs/>
        </w:rPr>
        <w:t xml:space="preserve">arXiv</w:t>
      </w:r>
      <w:r>
        <w:t xml:space="preserve">. 2021;2104.09864.</w:t>
      </w:r>
    </w:p>
    <w:p>
      <w:pPr>
        <w:pStyle w:val="BodyText"/>
      </w:pPr>
      <w:r>
        <w:t xml:space="preserve">Press O, Smith NA, Lewis M.</w:t>
      </w:r>
      <w:r>
        <w:t xml:space="preserve"> </w:t>
      </w:r>
      <w:r>
        <w:t xml:space="preserve">Train Short, Test Long: Attention with Linear Biases Enables Input Length Extrapolation.</w:t>
      </w:r>
      <w:r>
        <w:t xml:space="preserve"> </w:t>
      </w:r>
      <w:r>
        <w:rPr>
          <w:i/>
          <w:iCs/>
        </w:rPr>
        <w:t xml:space="preserve">ICLR</w:t>
      </w:r>
      <w:r>
        <w:t xml:space="preserve">. 2022.</w:t>
      </w:r>
    </w:p>
    <w:p>
      <w:pPr>
        <w:pStyle w:val="BodyText"/>
      </w:pPr>
      <w:r>
        <w:t xml:space="preserve">Xiong J, et al.</w:t>
      </w:r>
      <w:r>
        <w:t xml:space="preserve"> </w:t>
      </w:r>
      <w:r>
        <w:t xml:space="preserve">ADMETlab 3.0: an updated comprehensive webserver for ADMET prediction.</w:t>
      </w:r>
      <w:r>
        <w:t xml:space="preserve"> </w:t>
      </w:r>
      <w:r>
        <w:rPr>
          <w:i/>
          <w:iCs/>
        </w:rPr>
        <w:t xml:space="preserve">Brief Bioinform</w:t>
      </w:r>
      <w:r>
        <w:t xml:space="preserve">. 2024;25:bbae536.</w:t>
      </w:r>
    </w:p>
    <w:p>
      <w:pPr>
        <w:pStyle w:val="BodyText"/>
      </w:pPr>
      <w:r>
        <w:t xml:space="preserve">Baell JB, Holloway GA.</w:t>
      </w:r>
      <w:r>
        <w:t xml:space="preserve"> </w:t>
      </w:r>
      <w:r>
        <w:t xml:space="preserve">New substructure filters for removal of pan assay interference compounds (PAINS).</w:t>
      </w:r>
      <w:r>
        <w:t xml:space="preserve"> </w:t>
      </w:r>
      <w:r>
        <w:rPr>
          <w:i/>
          <w:iCs/>
        </w:rPr>
        <w:t xml:space="preserve">J Med Chem</w:t>
      </w:r>
      <w:r>
        <w:t xml:space="preserve">. 2010;53:2719.</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 Type="http://schemas.openxmlformats.org/officeDocument/2006/relationships/image" Id="rId19" Target="media/rId19.pdf" /><Relationship Type="http://schemas.openxmlformats.org/officeDocument/2006/relationships/image" Id="rId36" Target="media/rId3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2026-06-19T10:00:15Z</dcterms:created>
  <dcterms:modified xsi:type="dcterms:W3CDTF">2026-06-19T10:00:15Z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