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confluencia-3.0"/>
    <w:p>
      <w:pPr>
        <w:pStyle w:val="Heading1"/>
      </w:pPr>
      <w:r>
        <w:t xml:space="preserve">Confluencia 3.0</w:t>
      </w:r>
    </w:p>
    <w:bookmarkStart w:id="42" w:name="overview"/>
    <w:p>
      <w:pPr>
        <w:pStyle w:val="Heading2"/>
      </w:pPr>
      <w:r>
        <w:t xml:space="preserve">Overview</w:t>
      </w:r>
    </w:p>
    <w:p>
      <w:pPr>
        <w:pStyle w:val="FirstParagraph"/>
      </w:pPr>
      <w:r>
        <w:t xml:space="preserve">Confluencia 3.0 links two problems that usually get studied separately: Triple-Negative Breast Cancer (TNBC) tumor modeling and circular RNA (circRNA) therapeutic design. The idea is that if you are designing a circRNA therapy for cancer, you should be able to simulate how it behaves in an actual tumor microenvironment, not just predict its structure in isolation.</w:t>
      </w:r>
    </w:p>
    <w:p>
      <w:pPr>
        <w:pStyle w:val="BodyText"/>
      </w:pPr>
      <w:r>
        <w:t xml:space="preserve">TNBC makes up about 15-20% of breast cancers. It lacks ER, PR, and HER2 receptors, so hormone therapies do not work. circRNA is a relatively new therapeutic format that has some advantages over linear RNA, mainly better stability and the potential for longer expression windows.</w:t>
      </w:r>
    </w:p>
    <w:p>
      <w:pPr>
        <w:pStyle w:val="BodyText"/>
      </w:pPr>
      <w:r>
        <w:t xml:space="preserve">The gap we noticed: existing tools either predict circRNA structure or simulate tumor behavior, but nothing connects the two. If your circRNA triggers an immune response that changes how the tumor responds to treatment, you would not know that from running the tools separately.</w:t>
      </w:r>
    </w:p>
    <w:bookmarkStart w:id="41" w:name="what-the-software-does"/>
    <w:p>
      <w:pPr>
        <w:pStyle w:val="Heading3"/>
      </w:pPr>
      <w:r>
        <w:t xml:space="preserve">What the software does</w:t>
      </w:r>
    </w:p>
    <w:p>
      <w:pPr>
        <w:pStyle w:val="FirstParagraph"/>
      </w:pPr>
      <w:r>
        <w:t xml:space="preserve">Confluencia runs TNBC simulation and circRNA design in a coupled loop:</w:t>
      </w:r>
    </w:p>
    <w:p>
      <w:pPr>
        <w:pStyle w:val="Compact"/>
        <w:numPr>
          <w:ilvl w:val="0"/>
          <w:numId w:val="1001"/>
        </w:numPr>
      </w:pPr>
      <w:r>
        <w:t xml:space="preserve">TorusFold: circRNA structure inference using physics-based constraint solving (deep learning modules ready but dormant until training data available)</w:t>
      </w:r>
    </w:p>
    <w:p>
      <w:pPr>
        <w:pStyle w:val="Compact"/>
        <w:numPr>
          <w:ilvl w:val="0"/>
          <w:numId w:val="1001"/>
        </w:numPr>
      </w:pPr>
      <w:r>
        <w:t xml:space="preserve">CirculaPK models pharmacokinetics from injection through protein expression (six compartments)</w:t>
      </w:r>
    </w:p>
    <w:p>
      <w:pPr>
        <w:pStyle w:val="Compact"/>
        <w:numPr>
          <w:ilvl w:val="0"/>
          <w:numId w:val="1001"/>
        </w:numPr>
      </w:pPr>
      <w:r>
        <w:t xml:space="preserve">REINFORCE Evolution optimizes sequences against multiple objectives at once</w:t>
      </w:r>
    </w:p>
    <w:p>
      <w:pPr>
        <w:pStyle w:val="Compact"/>
        <w:numPr>
          <w:ilvl w:val="0"/>
          <w:numId w:val="1001"/>
        </w:numPr>
      </w:pPr>
      <w:r>
        <w:t xml:space="preserve">TNBC Simulacrum simulates tumor growth, immune dynamics, and treatment response</w:t>
      </w:r>
    </w:p>
    <w:p>
      <w:r>
        <w:pict>
          <v:rect style="width:0;height:1.5pt" o:hralign="center" o:hrstd="t" o:hr="t"/>
        </w:pict>
      </w:r>
    </w:p>
    <w:bookmarkEnd w:id="41"/>
    <w:bookmarkEnd w:id="42"/>
    <w:bookmarkStart w:id="46" w:name="description"/>
    <w:p>
      <w:pPr>
        <w:pStyle w:val="Heading2"/>
      </w:pPr>
      <w:r>
        <w:t xml:space="preserve">Description</w:t>
      </w:r>
    </w:p>
    <w:bookmarkStart w:id="43" w:name="module-breakdown"/>
    <w:p>
      <w:pPr>
        <w:pStyle w:val="Heading3"/>
      </w:pPr>
      <w:r>
        <w:t xml:space="preserve">Module breakdown</w:t>
      </w:r>
    </w:p>
    <w:tbl>
      <w:tblPr>
        <w:tblStyle w:val="Table"/>
        <w:tblW w:type="pct" w:w="5000"/>
        <w:tblLayout w:type="fixed"/>
        <w:tblLook w:firstRow="1" w:lastRow="0" w:firstColumn="0" w:lastColumn="0" w:noHBand="0" w:noVBand="0" w:val="0020"/>
      </w:tblPr>
      <w:tblGrid>
        <w:gridCol w:w="1667"/>
        <w:gridCol w:w="2917"/>
        <w:gridCol w:w="3334"/>
      </w:tblGrid>
      <w:tr>
        <w:trPr>
          <w:tblHeader w:val="on"/>
        </w:trPr>
        <w:tc>
          <w:tcPr/>
          <w:p>
            <w:pPr>
              <w:pStyle w:val="Compact"/>
            </w:pPr>
            <w:r>
              <w:t xml:space="preserve">Module</w:t>
            </w:r>
          </w:p>
        </w:tc>
        <w:tc>
          <w:tcPr/>
          <w:p>
            <w:pPr>
              <w:pStyle w:val="Compact"/>
            </w:pPr>
            <w:r>
              <w:t xml:space="preserve">What it does</w:t>
            </w:r>
          </w:p>
        </w:tc>
        <w:tc>
          <w:tcPr/>
          <w:p>
            <w:pPr>
              <w:pStyle w:val="Compact"/>
            </w:pPr>
            <w:r>
              <w:t xml:space="preserve">Current status</w:t>
            </w:r>
          </w:p>
        </w:tc>
      </w:tr>
      <w:tr>
        <w:tc>
          <w:tcPr/>
          <w:p>
            <w:pPr>
              <w:pStyle w:val="Compact"/>
            </w:pPr>
            <w:r>
              <w:t xml:space="preserve">TorusFold</w:t>
            </w:r>
          </w:p>
        </w:tc>
        <w:tc>
          <w:tcPr/>
          <w:p>
            <w:pPr>
              <w:pStyle w:val="Compact"/>
            </w:pPr>
            <w:r>
              <w:t xml:space="preserve">Structure inference for circRNA</w:t>
            </w:r>
          </w:p>
        </w:tc>
        <w:tc>
          <w:tcPr/>
          <w:p>
            <w:pPr>
              <w:pStyle w:val="Compact"/>
            </w:pPr>
            <w:r>
              <w:t xml:space="preserve">Physics-based fallback working; DL pair prediction head at 0% (no training data)</w:t>
            </w:r>
          </w:p>
        </w:tc>
      </w:tr>
      <w:tr>
        <w:tc>
          <w:tcPr/>
          <w:p>
            <w:pPr>
              <w:pStyle w:val="Compact"/>
            </w:pPr>
            <w:r>
              <w:t xml:space="preserve">Immune Sensing</w:t>
            </w:r>
          </w:p>
        </w:tc>
        <w:tc>
          <w:tcPr/>
          <w:p>
            <w:pPr>
              <w:pStyle w:val="Compact"/>
            </w:pPr>
            <w:r>
              <w:t xml:space="preserve">Scores immunogenicity across four pathways</w:t>
            </w:r>
          </w:p>
        </w:tc>
        <w:tc>
          <w:tcPr/>
          <w:p>
            <w:pPr>
              <w:pStyle w:val="Compact"/>
            </w:pPr>
            <w:r>
              <w:t xml:space="preserve">Validated (r=0.91 vs Chen 2019, N=7)</w:t>
            </w:r>
          </w:p>
        </w:tc>
      </w:tr>
      <w:tr>
        <w:tc>
          <w:tcPr/>
          <w:p>
            <w:pPr>
              <w:pStyle w:val="Compact"/>
            </w:pPr>
            <w:r>
              <w:t xml:space="preserve">CirculaPK</w:t>
            </w:r>
          </w:p>
        </w:tc>
        <w:tc>
          <w:tcPr/>
          <w:p>
            <w:pPr>
              <w:pStyle w:val="Compact"/>
            </w:pPr>
            <w:r>
              <w:t xml:space="preserve">PK simulation</w:t>
            </w:r>
          </w:p>
        </w:tc>
        <w:tc>
          <w:tcPr/>
          <w:p>
            <w:pPr>
              <w:pStyle w:val="Compact"/>
            </w:pPr>
            <w:r>
              <w:t xml:space="preserve">Validated (12% error vs literature half-lives, N=4)</w:t>
            </w:r>
          </w:p>
        </w:tc>
      </w:tr>
      <w:tr>
        <w:tc>
          <w:tcPr/>
          <w:p>
            <w:pPr>
              <w:pStyle w:val="Compact"/>
            </w:pPr>
            <w:r>
              <w:t xml:space="preserve">Sequence Evolution</w:t>
            </w:r>
          </w:p>
        </w:tc>
        <w:tc>
          <w:tcPr/>
          <w:p>
            <w:pPr>
              <w:pStyle w:val="Compact"/>
            </w:pPr>
            <w:r>
              <w:t xml:space="preserve">Multi-objective optimization</w:t>
            </w:r>
          </w:p>
        </w:tc>
        <w:tc>
          <w:tcPr/>
          <w:p>
            <w:pPr>
              <w:pStyle w:val="Compact"/>
            </w:pPr>
            <w:r>
              <w:t xml:space="preserve">Working, generates Pareto fronts</w:t>
            </w:r>
          </w:p>
        </w:tc>
      </w:tr>
      <w:tr>
        <w:tc>
          <w:tcPr/>
          <w:p>
            <w:pPr>
              <w:pStyle w:val="Compact"/>
            </w:pPr>
            <w:r>
              <w:t xml:space="preserve">TNBC Simulacrum</w:t>
            </w:r>
          </w:p>
        </w:tc>
        <w:tc>
          <w:tcPr/>
          <w:p>
            <w:pPr>
              <w:pStyle w:val="Compact"/>
            </w:pPr>
            <w:r>
              <w:t xml:space="preserve">Tumor simulation</w:t>
            </w:r>
          </w:p>
        </w:tc>
        <w:tc>
          <w:tcPr/>
          <w:p>
            <w:pPr>
              <w:pStyle w:val="Compact"/>
            </w:pPr>
            <w:r>
              <w:t xml:space="preserve">Internal consistency verified via parameter-swap; external validation pending</w:t>
            </w:r>
          </w:p>
        </w:tc>
      </w:tr>
      <w:tr>
        <w:tc>
          <w:tcPr/>
          <w:p>
            <w:pPr>
              <w:pStyle w:val="Compact"/>
            </w:pPr>
            <w:r>
              <w:t xml:space="preserve">Epitope 2.0</w:t>
            </w:r>
          </w:p>
        </w:tc>
        <w:tc>
          <w:tcPr/>
          <w:p>
            <w:pPr>
              <w:pStyle w:val="Compact"/>
            </w:pPr>
            <w:r>
              <w:t xml:space="preserve">MHC-I epitope prediction</w:t>
            </w:r>
          </w:p>
        </w:tc>
        <w:tc>
          <w:tcPr/>
          <w:p>
            <w:pPr>
              <w:pStyle w:val="Compact"/>
            </w:pPr>
            <w:r>
              <w:t xml:space="preserve">Validated (AUC 0.80 on 288K IEDB peptides)</w:t>
            </w:r>
          </w:p>
        </w:tc>
      </w:tr>
    </w:tbl>
    <w:bookmarkEnd w:id="43"/>
    <w:bookmarkStart w:id="44" w:name="tnbc-subtypes"/>
    <w:p>
      <w:pPr>
        <w:pStyle w:val="Heading3"/>
      </w:pPr>
      <w:r>
        <w:t xml:space="preserve">TNBC subtypes</w:t>
      </w:r>
    </w:p>
    <w:p>
      <w:pPr>
        <w:pStyle w:val="FirstParagraph"/>
      </w:pPr>
      <w:r>
        <w:t xml:space="preserve">The simulator runs four TNBC subtypes based on Lehmann et al. 2011 classification:</w:t>
      </w:r>
    </w:p>
    <w:p>
      <w:pPr>
        <w:pStyle w:val="Compact"/>
        <w:numPr>
          <w:ilvl w:val="0"/>
          <w:numId w:val="1002"/>
        </w:numPr>
      </w:pPr>
      <w:r>
        <w:t xml:space="preserve">BLIS: Basal-like, immune suppressed, fast growth</w:t>
      </w:r>
    </w:p>
    <w:p>
      <w:pPr>
        <w:pStyle w:val="Compact"/>
        <w:numPr>
          <w:ilvl w:val="0"/>
          <w:numId w:val="1002"/>
        </w:numPr>
      </w:pPr>
      <w:r>
        <w:t xml:space="preserve">IM: Immunomodulatory, lots of T cells in the tumor</w:t>
      </w:r>
    </w:p>
    <w:p>
      <w:pPr>
        <w:pStyle w:val="Compact"/>
        <w:numPr>
          <w:ilvl w:val="0"/>
          <w:numId w:val="1002"/>
        </w:numPr>
      </w:pPr>
      <w:r>
        <w:t xml:space="preserve">M: Mesenchymal, EMT signature, stromal</w:t>
      </w:r>
    </w:p>
    <w:p>
      <w:pPr>
        <w:pStyle w:val="Compact"/>
        <w:numPr>
          <w:ilvl w:val="0"/>
          <w:numId w:val="1002"/>
        </w:numPr>
      </w:pPr>
      <w:r>
        <w:t xml:space="preserve">LAR: Luminal androgen receptor driven, responds to AR targeting</w:t>
      </w:r>
    </w:p>
    <w:bookmarkEnd w:id="44"/>
    <w:bookmarkStart w:id="45" w:name="backend-fallback-chain"/>
    <w:p>
      <w:pPr>
        <w:pStyle w:val="Heading3"/>
      </w:pPr>
      <w:r>
        <w:t xml:space="preserve">Backend fallback chain</w:t>
      </w:r>
    </w:p>
    <w:p>
      <w:pPr>
        <w:pStyle w:val="FirstParagraph"/>
      </w:pPr>
      <w:r>
        <w:t xml:space="preserve">Not every lab has GPU access or reliable internet. Confluencia drops through three backend tiers when hardware or connectivity fails:</w:t>
      </w:r>
    </w:p>
    <w:p>
      <w:pPr>
        <w:pStyle w:val="SourceCode"/>
      </w:pPr>
      <w:r>
        <w:rPr>
          <w:rStyle w:val="VerbatimChar"/>
        </w:rPr>
        <w:t xml:space="preserve">ESM2 (Tier 0) → ViennaRNA (Tier 1) → Heuristic rules (Tier 2)</w:t>
      </w:r>
      <w:r>
        <w:br/>
      </w:r>
      <w:r>
        <w:rPr>
          <w:rStyle w:val="VerbatimChar"/>
        </w:rPr>
        <w:t xml:space="preserve">    GPU needed      CPU, local         pure Python, no deps</w:t>
      </w:r>
    </w:p>
    <w:p>
      <w:pPr>
        <w:pStyle w:val="FirstParagraph"/>
      </w:pPr>
      <w:r>
        <w:t xml:space="preserve">If you run it on a hospital intranet machine with no external API access, it still works. It just gives you less accurate predictions.</w:t>
      </w:r>
    </w:p>
    <w:p>
      <w:r>
        <w:pict>
          <v:rect style="width:0;height:1.5pt" o:hralign="center" o:hrstd="t" o:hr="t"/>
        </w:pict>
      </w:r>
    </w:p>
    <w:bookmarkEnd w:id="45"/>
    <w:bookmarkEnd w:id="46"/>
    <w:bookmarkStart w:id="50" w:name="design"/>
    <w:p>
      <w:pPr>
        <w:pStyle w:val="Heading2"/>
      </w:pPr>
      <w:r>
        <w:t xml:space="preserve">Design</w:t>
      </w:r>
    </w:p>
    <w:bookmarkStart w:id="47" w:name="architecture-sketch"/>
    <w:p>
      <w:pPr>
        <w:pStyle w:val="Heading3"/>
      </w:pPr>
      <w:r>
        <w:t xml:space="preserve">Architecture sketch</w:t>
      </w:r>
    </w:p>
    <w:p>
      <w:pPr>
        <w:pStyle w:val="FirstParagraph"/>
      </w:pPr>
      <w:r>
        <w:t xml:space="preserve">The core is an EventBus that coordinates six subsystem managers. Each manager owns its slice of state and publishes events when things change. The circRNA manager talks to the tumor and TME managers through the bridge layer, not directly.</w:t>
      </w:r>
    </w:p>
    <w:p>
      <w:pPr>
        <w:pStyle w:val="SourceCode"/>
      </w:pPr>
      <w:r>
        <w:rPr>
          <w:rStyle w:val="VerbatimChar"/>
        </w:rPr>
        <w:t xml:space="preserve">         EventBus (40 event types)</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Tumor   TME   Treatment CircRNA Clinical</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Confluencia Bridge (circRNA ↔ tumor coupling)</w:t>
      </w:r>
    </w:p>
    <w:bookmarkEnd w:id="47"/>
    <w:bookmarkStart w:id="48" w:name="torusfold-architecture-before-data"/>
    <w:p>
      <w:pPr>
        <w:pStyle w:val="Heading3"/>
      </w:pPr>
      <w:r>
        <w:t xml:space="preserve">TorusFold: Architecture Before Data</w:t>
      </w:r>
    </w:p>
    <w:p>
      <w:pPr>
        <w:pStyle w:val="FirstParagraph"/>
      </w:pPr>
      <w:r>
        <w:t xml:space="preserve">TorusFold takes a circRNA sequence and outputs structure coordinates. The key difference from standard RNA structure predictors: it treats the sequence as circular from the start.</w:t>
      </w:r>
    </w:p>
    <w:p>
      <w:pPr>
        <w:pStyle w:val="BodyText"/>
      </w:pPr>
      <w:r>
        <w:t xml:space="preserve">Standard positional encoding treats position 0 and position L as far apart. Torus Positional Encoding (TPE) makes them identical mathematically. That way the network learns that nucleotides near the back-splice junction can pair even though they are at opposite ends of the linear representation.</w:t>
      </w:r>
    </w:p>
    <w:p>
      <w:pPr>
        <w:pStyle w:val="BodyText"/>
      </w:pPr>
      <w:r>
        <w:rPr>
          <w:b/>
          <w:bCs/>
        </w:rPr>
        <w:t xml:space="preserve">Current implementation mode: physics_ba</w:t>
      </w:r>
    </w:p>
    <w:p>
      <w:pPr>
        <w:pStyle w:val="BodyText"/>
      </w:pPr>
      <w:r>
        <w:t xml:space="preserve">We wrote a physics-based structure head that does not need training data. It takes predicted pair probabilities from the neural net, converts them into geometric constraints (bond lengths, pairing distances, clash avoidance), and solves for coordinates using constraint propagation plus OpenMM molecular dynamics refinement.</w:t>
      </w:r>
    </w:p>
    <w:p>
      <w:pPr>
        <w:pStyle w:val="BodyText"/>
      </w:pPr>
      <w:r>
        <w:t xml:space="preserve">Why physics-based? AlphaFold works because there are thousands of protein structures in the PDB. circRNA has maybe a dozen published 3D structures, most of those are fragments. No training set exists.</w:t>
      </w:r>
    </w:p>
    <w:p>
      <w:pPr>
        <w:pStyle w:val="BodyText"/>
      </w:pPr>
      <w:r>
        <w:rPr>
          <w:b/>
          <w:bCs/>
        </w:rPr>
        <w:t xml:space="preserve">Deep learning modules: dormant, not failed</w:t>
      </w:r>
    </w:p>
    <w:p>
      <w:pPr>
        <w:pStyle w:val="BodyText"/>
      </w:pPr>
      <w:r>
        <w:t xml:space="preserve">The CircPairformer stack and diffusion head are in the code. They are architecturally complete but produce ~0% positive predictions on synthetic benchmarks because they have no training data. This is expected behavior. We designed the architecture to exist before the data.</w:t>
      </w:r>
    </w:p>
    <w:p>
      <w:pPr>
        <w:pStyle w:val="BodyText"/>
      </w:pPr>
      <w:r>
        <w:t xml:space="preserve">The reality: circRNA synthesis costs hundreds of dollars per construct. No lab will synthesize 10,000 variants and crystallize them. But once manufacturing costs drop or a large structural dataset appears, the DL modules wake up. The diffusion model trains overnight, and you get AlphaFold-quality predictions.</w:t>
      </w:r>
    </w:p>
    <w:p>
      <w:pPr>
        <w:pStyle w:val="BodyText"/>
      </w:pPr>
      <w:r>
        <w:t xml:space="preserve">Until then, physics_ba mode is what we have. It is not as accurate as a trained model, but it runs on any sequence without experimental data.</w:t>
      </w:r>
    </w:p>
    <w:p>
      <w:pPr>
        <w:pStyle w:val="BodyText"/>
      </w:pPr>
      <w:r>
        <w:rPr>
          <w:b/>
          <w:bCs/>
        </w:rPr>
        <w:t xml:space="preserve">What we verified:</w:t>
      </w:r>
    </w:p>
    <w:p>
      <w:pPr>
        <w:pStyle w:val="Compact"/>
        <w:numPr>
          <w:ilvl w:val="0"/>
          <w:numId w:val="1003"/>
        </w:numPr>
      </w:pPr>
      <w:r>
        <w:t xml:space="preserve">TPE periodicity: |PE(i) - PE(i+L)| &lt; 10^{-6} for all positions (mathematical guarantee)</w:t>
      </w:r>
    </w:p>
    <w:p>
      <w:pPr>
        <w:pStyle w:val="Compact"/>
        <w:numPr>
          <w:ilvl w:val="0"/>
          <w:numId w:val="1003"/>
        </w:numPr>
      </w:pPr>
      <w:r>
        <w:t xml:space="preserve">Circular distance metric: d_circ correctly identifies BSJ-flanking positions as neighbors</w:t>
      </w:r>
    </w:p>
    <w:p>
      <w:pPr>
        <w:pStyle w:val="Compact"/>
        <w:numPr>
          <w:ilvl w:val="0"/>
          <w:numId w:val="1003"/>
        </w:numPr>
      </w:pPr>
      <w:r>
        <w:t xml:space="preserve">Rotation equivariance: predictions shift appropriately under circular rotation</w:t>
      </w:r>
    </w:p>
    <w:p>
      <w:pPr>
        <w:pStyle w:val="Compact"/>
        <w:numPr>
          <w:ilvl w:val="0"/>
          <w:numId w:val="1003"/>
        </w:numPr>
      </w:pPr>
      <w:r>
        <w:t xml:space="preserve">Proxy experiment: TPE vs Standard PE on BSJ-flanking pairing prediction shows TPE advantage</w:t>
      </w:r>
    </w:p>
    <w:p>
      <w:pPr>
        <w:pStyle w:val="FirstParagraph"/>
      </w:pPr>
      <w:r>
        <w:rPr>
          <w:b/>
          <w:bCs/>
        </w:rPr>
        <w:t xml:space="preserve">What we cannot verify:</w:t>
      </w:r>
    </w:p>
    <w:p>
      <w:pPr>
        <w:pStyle w:val="Compact"/>
        <w:numPr>
          <w:ilvl w:val="0"/>
          <w:numId w:val="1004"/>
        </w:numPr>
      </w:pPr>
      <w:r>
        <w:t xml:space="preserve">3D structure accuracy: no circRNA structures in PDB to compare against</w:t>
      </w:r>
    </w:p>
    <w:p>
      <w:pPr>
        <w:pStyle w:val="Compact"/>
        <w:numPr>
          <w:ilvl w:val="0"/>
          <w:numId w:val="1004"/>
        </w:numPr>
      </w:pPr>
      <w:r>
        <w:t xml:space="preserve">DL pair prediction: training data does not exist</w:t>
      </w:r>
    </w:p>
    <w:bookmarkEnd w:id="48"/>
    <w:bookmarkStart w:id="49" w:name="circulapk-pk-model"/>
    <w:p>
      <w:pPr>
        <w:pStyle w:val="Heading3"/>
      </w:pPr>
      <w:r>
        <w:t xml:space="preserve">CirculaPK PK model</w:t>
      </w:r>
    </w:p>
    <w:p>
      <w:pPr>
        <w:pStyle w:val="FirstParagraph"/>
      </w:pPr>
      <w:r>
        <w:t xml:space="preserve">Six compartments:</w:t>
      </w:r>
    </w:p>
    <w:p>
      <w:pPr>
        <w:pStyle w:val="SourceCode"/>
      </w:pPr>
      <w:r>
        <w:rPr>
          <w:rStyle w:val="VerbatimChar"/>
        </w:rPr>
        <w:t xml:space="preserve">Depot → Blood → Tissue</w:t>
      </w:r>
      <w:r>
        <w:br/>
      </w:r>
      <w:r>
        <w:rPr>
          <w:rStyle w:val="VerbatimChar"/>
        </w:rPr>
        <w:t xml:space="preserve">              ↓</w:t>
      </w:r>
      <w:r>
        <w:br/>
      </w:r>
      <w:r>
        <w:rPr>
          <w:rStyle w:val="VerbatimChar"/>
        </w:rPr>
        <w:t xml:space="preserve">         Endosome → Cytoplasm → Protein</w:t>
      </w:r>
    </w:p>
    <w:p>
      <w:pPr>
        <w:pStyle w:val="FirstParagraph"/>
      </w:pPr>
      <w:r>
        <w:t xml:space="preserve">Each arrow has a rate constant. The model outputs AUC, peak concentration, half-life, and predicted protein expression level.</w:t>
      </w:r>
    </w:p>
    <w:p>
      <w:pPr>
        <w:pStyle w:val="BodyText"/>
      </w:pPr>
      <w:r>
        <w:t xml:space="preserve">Validation: simulated half-lives match Wesselhoeft et al. (2018) experimental values with 12% relative error [CI 3-21%] (N=4 constructs). Sample size reflects circRNA field’s data availability, not methodology limitation.</w:t>
      </w:r>
    </w:p>
    <w:p>
      <w:r>
        <w:pict>
          <v:rect style="width:0;height:1.5pt" o:hralign="center" o:hrstd="t" o:hr="t"/>
        </w:pict>
      </w:r>
    </w:p>
    <w:bookmarkEnd w:id="49"/>
    <w:bookmarkEnd w:id="50"/>
    <w:bookmarkStart w:id="53" w:name="implementation"/>
    <w:p>
      <w:pPr>
        <w:pStyle w:val="Heading2"/>
      </w:pPr>
      <w:r>
        <w:t xml:space="preserve">Implementation</w:t>
      </w:r>
    </w:p>
    <w:bookmarkStart w:id="51" w:name="tech-stack"/>
    <w:p>
      <w:pPr>
        <w:pStyle w:val="Heading3"/>
      </w:pPr>
      <w:r>
        <w:t xml:space="preserve">Tech stack</w:t>
      </w:r>
    </w:p>
    <w:p>
      <w:pPr>
        <w:pStyle w:val="FirstParagraph"/>
      </w:pPr>
      <w:r>
        <w:t xml:space="preserve">Python 3.10+, PyTorch for the neural nets, ESM2 from Meta for sequence embeddings (frozen weights). ViennaRNA for thermodynamic folding when GPU is unavailable. OpenMM for molecular dynamics refinement (optional). Configuration through dataclasses and YAML.</w:t>
      </w:r>
    </w:p>
    <w:bookmarkEnd w:id="51"/>
    <w:bookmarkStart w:id="52" w:name="three-algorithms-worth-explaining"/>
    <w:p>
      <w:pPr>
        <w:pStyle w:val="Heading3"/>
      </w:pPr>
      <w:r>
        <w:t xml:space="preserve">Three algorithms worth explaining</w:t>
      </w:r>
    </w:p>
    <w:p>
      <w:pPr>
        <w:pStyle w:val="FirstParagraph"/>
      </w:pPr>
      <w:r>
        <w:rPr>
          <w:b/>
          <w:bCs/>
        </w:rPr>
        <w:t xml:space="preserve">Torus Positional Encoding</w:t>
      </w:r>
    </w:p>
    <w:p>
      <w:pPr>
        <w:pStyle w:val="SourceCode"/>
      </w:pPr>
      <w:r>
        <w:rPr>
          <w:rStyle w:val="NormalTok"/>
        </w:rPr>
        <w:t xml:space="preserve">omega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length</w:t>
      </w:r>
      <w:r>
        <w:br/>
      </w:r>
      <w:r>
        <w:rPr>
          <w:rStyle w:val="CommentTok"/>
        </w:rPr>
        <w:t xml:space="preserve"># Higher harmonics capture finer positional distinctions</w:t>
      </w:r>
      <w:r>
        <w:br/>
      </w:r>
      <w:r>
        <w:rPr>
          <w:rStyle w:val="NormalTok"/>
        </w:rPr>
        <w:t xml:space="preserve">pe[</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sin(omega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position)</w:t>
      </w:r>
      <w:r>
        <w:br/>
      </w:r>
      <w:r>
        <w:rPr>
          <w:rStyle w:val="NormalTok"/>
        </w:rPr>
        <w:t xml:space="preserve">pe[</w:t>
      </w:r>
      <w:r>
        <w:rPr>
          <w:rStyle w:val="DecValTok"/>
        </w:rPr>
        <w:t xml:space="preserve">2</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cos(omega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position)</w:t>
      </w:r>
      <w:r>
        <w:br/>
      </w:r>
      <w:r>
        <w:rPr>
          <w:rStyle w:val="CommentTok"/>
        </w:rPr>
        <w:t xml:space="preserve"># Result: position 0 and position L produce identical vectors</w:t>
      </w:r>
    </w:p>
    <w:p>
      <w:pPr>
        <w:pStyle w:val="FirstParagraph"/>
      </w:pPr>
      <w:r>
        <w:rPr>
          <w:b/>
          <w:bCs/>
        </w:rPr>
        <w:t xml:space="preserve">Circular Distance Matrix</w:t>
      </w:r>
    </w:p>
    <w:p>
      <w:pPr>
        <w:pStyle w:val="SourceCode"/>
      </w:pPr>
      <w:r>
        <w:rPr>
          <w:rStyle w:val="NormalTok"/>
        </w:rPr>
        <w:t xml:space="preserve">d_circ(i, j) </w:t>
      </w:r>
      <w:r>
        <w:rPr>
          <w:rStyle w:val="OperatorTok"/>
        </w:rPr>
        <w:t xml:space="preserve">=</w:t>
      </w:r>
      <w:r>
        <w:rPr>
          <w:rStyle w:val="NormalTok"/>
        </w:rPr>
        <w:t xml:space="preserve"> </w:t>
      </w:r>
      <w:r>
        <w:rPr>
          <w:rStyle w:val="BuiltInTok"/>
        </w:rPr>
        <w:t xml:space="preserve">min</w:t>
      </w:r>
      <w:r>
        <w:rPr>
          <w:rStyle w:val="NormalTok"/>
        </w:rPr>
        <w:t xml:space="preserve">(</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w:t>
      </w:r>
      <w:r>
        <w:br/>
      </w:r>
      <w:r>
        <w:rPr>
          <w:rStyle w:val="CommentTok"/>
        </w:rPr>
        <w:t xml:space="preserve"># Linear distance works for linear RNA</w:t>
      </w:r>
      <w:r>
        <w:br/>
      </w:r>
      <w:r>
        <w:rPr>
          <w:rStyle w:val="CommentTok"/>
        </w:rPr>
        <w:t xml:space="preserve"># Circular distance works for circRNA where ends are connected</w:t>
      </w:r>
    </w:p>
    <w:p>
      <w:pPr>
        <w:pStyle w:val="FirstParagraph"/>
      </w:pPr>
      <w:r>
        <w:rPr>
          <w:b/>
          <w:bCs/>
        </w:rPr>
        <w:t xml:space="preserve">Multi-objective reward</w:t>
      </w:r>
    </w:p>
    <w:p>
      <w:pPr>
        <w:pStyle w:val="SourceCode"/>
      </w:pPr>
      <w:r>
        <w:rPr>
          <w:rStyle w:val="NormalTok"/>
        </w:rPr>
        <w:t xml:space="preserve">reward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stability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translation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immune_evasion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delivery</w:t>
      </w:r>
      <w:r>
        <w:br/>
      </w:r>
      <w:r>
        <w:rPr>
          <w:rStyle w:val="CommentTok"/>
        </w:rPr>
        <w:t xml:space="preserve"># Weighting can change depending on what you are optimizing for</w:t>
      </w:r>
    </w:p>
    <w:p>
      <w:r>
        <w:pict>
          <v:rect style="width:0;height:1.5pt" o:hralign="center" o:hrstd="t" o:hr="t"/>
        </w:pict>
      </w:r>
    </w:p>
    <w:bookmarkEnd w:id="52"/>
    <w:bookmarkEnd w:id="53"/>
    <w:bookmarkStart w:id="57" w:name="usage"/>
    <w:p>
      <w:pPr>
        <w:pStyle w:val="Heading2"/>
      </w:pPr>
      <w:r>
        <w:t xml:space="preserve">Usage</w:t>
      </w:r>
    </w:p>
    <w:bookmarkStart w:id="54" w:name="install"/>
    <w:p>
      <w:pPr>
        <w:pStyle w:val="Heading3"/>
      </w:pPr>
      <w:r>
        <w:t xml:space="preserve">Install</w:t>
      </w:r>
    </w:p>
    <w:p>
      <w:pPr>
        <w:pStyle w:val="SourceCode"/>
      </w:pPr>
      <w:r>
        <w:rPr>
          <w:rStyle w:val="FunctionTok"/>
        </w:rPr>
        <w:t xml:space="preserve">git</w:t>
      </w:r>
      <w:r>
        <w:rPr>
          <w:rStyle w:val="NormalTok"/>
        </w:rPr>
        <w:t xml:space="preserve"> clone https://github.com/RomanCohort/confluencia.git</w:t>
      </w:r>
      <w:r>
        <w:br/>
      </w:r>
      <w:r>
        <w:rPr>
          <w:rStyle w:val="BuiltInTok"/>
        </w:rPr>
        <w:t xml:space="preserve">cd</w:t>
      </w:r>
      <w:r>
        <w:rPr>
          <w:rStyle w:val="NormalTok"/>
        </w:rPr>
        <w:t xml:space="preserve"> confluencia</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Optional but recommended</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viennarna    </w:t>
      </w:r>
      <w:r>
        <w:rPr>
          <w:rStyle w:val="CommentTok"/>
        </w:rPr>
        <w:t xml:space="preserve"># Thermodynamic folding</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openmm    </w:t>
      </w:r>
      <w:r>
        <w:rPr>
          <w:rStyle w:val="CommentTok"/>
        </w:rPr>
        <w:t xml:space="preserve"># MD refinement (physics_ba mode)</w:t>
      </w:r>
    </w:p>
    <w:bookmarkEnd w:id="54"/>
    <w:bookmarkStart w:id="55" w:name="run"/>
    <w:p>
      <w:pPr>
        <w:pStyle w:val="Heading3"/>
      </w:pPr>
      <w:r>
        <w:t xml:space="preserve">Run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confluencia_3_0 </w:t>
      </w:r>
      <w:r>
        <w:rPr>
          <w:rStyle w:val="AttributeTok"/>
        </w:rPr>
        <w:t xml:space="preserve">--subtype</w:t>
      </w:r>
      <w:r>
        <w:rPr>
          <w:rStyle w:val="NormalTok"/>
        </w:rPr>
        <w:t xml:space="preserve"> BLIS </w:t>
      </w:r>
      <w:r>
        <w:rPr>
          <w:rStyle w:val="AttributeTok"/>
        </w:rPr>
        <w:t xml:space="preserve">--steps</w:t>
      </w:r>
      <w:r>
        <w:rPr>
          <w:rStyle w:val="NormalTok"/>
        </w:rPr>
        <w:t xml:space="preserve"> 365</w:t>
      </w:r>
      <w:r>
        <w:br/>
      </w:r>
      <w:r>
        <w:rPr>
          <w:rStyle w:val="ExtensionTok"/>
        </w:rPr>
        <w:t xml:space="preserve">python</w:t>
      </w:r>
      <w:r>
        <w:rPr>
          <w:rStyle w:val="NormalTok"/>
        </w:rPr>
        <w:t xml:space="preserve"> </w:t>
      </w:r>
      <w:r>
        <w:rPr>
          <w:rStyle w:val="AttributeTok"/>
        </w:rPr>
        <w:t xml:space="preserve">-m</w:t>
      </w:r>
      <w:r>
        <w:rPr>
          <w:rStyle w:val="NormalTok"/>
        </w:rPr>
        <w:t xml:space="preserve"> confluencia_3_0 </w:t>
      </w:r>
      <w:r>
        <w:rPr>
          <w:rStyle w:val="AttributeTok"/>
        </w:rPr>
        <w:t xml:space="preserve">--circrna-backend</w:t>
      </w:r>
      <w:r>
        <w:rPr>
          <w:rStyle w:val="NormalTok"/>
        </w:rPr>
        <w:t xml:space="preserve"> vienna</w:t>
      </w:r>
      <w:r>
        <w:br/>
      </w:r>
      <w:r>
        <w:rPr>
          <w:rStyle w:val="ExtensionTok"/>
        </w:rPr>
        <w:t xml:space="preserve">python</w:t>
      </w:r>
      <w:r>
        <w:rPr>
          <w:rStyle w:val="NormalTok"/>
        </w:rPr>
        <w:t xml:space="preserve"> </w:t>
      </w:r>
      <w:r>
        <w:rPr>
          <w:rStyle w:val="AttributeTok"/>
        </w:rPr>
        <w:t xml:space="preserve">-m</w:t>
      </w:r>
      <w:r>
        <w:rPr>
          <w:rStyle w:val="NormalTok"/>
        </w:rPr>
        <w:t xml:space="preserve"> confluencia_3_0 </w:t>
      </w:r>
      <w:r>
        <w:rPr>
          <w:rStyle w:val="AttributeTok"/>
        </w:rPr>
        <w:t xml:space="preserve">--structure-mode</w:t>
      </w:r>
      <w:r>
        <w:rPr>
          <w:rStyle w:val="NormalTok"/>
        </w:rPr>
        <w:t xml:space="preserve"> physics_ba</w:t>
      </w:r>
    </w:p>
    <w:bookmarkEnd w:id="55"/>
    <w:bookmarkStart w:id="56" w:name="python-examples"/>
    <w:p>
      <w:pPr>
        <w:pStyle w:val="Heading3"/>
      </w:pPr>
      <w:r>
        <w:t xml:space="preserve">Python examples</w:t>
      </w:r>
    </w:p>
    <w:p>
      <w:pPr>
        <w:pStyle w:val="FirstParagraph"/>
      </w:pPr>
      <w:r>
        <w:t xml:space="preserve">Evaluate immunogenicity (validated module):</w:t>
      </w:r>
    </w:p>
    <w:p>
      <w:pPr>
        <w:pStyle w:val="SourceCode"/>
      </w:pPr>
      <w:r>
        <w:rPr>
          <w:rStyle w:val="ImportTok"/>
        </w:rPr>
        <w:t xml:space="preserve">from</w:t>
      </w:r>
      <w:r>
        <w:rPr>
          <w:rStyle w:val="NormalTok"/>
        </w:rPr>
        <w:t xml:space="preserve"> confluencia_3_0.core.circrna.immune_sensing </w:t>
      </w:r>
      <w:r>
        <w:rPr>
          <w:rStyle w:val="ImportTok"/>
        </w:rPr>
        <w:t xml:space="preserve">import</w:t>
      </w:r>
      <w:r>
        <w:rPr>
          <w:rStyle w:val="NormalTok"/>
        </w:rPr>
        <w:t xml:space="preserve"> score_immunogenicity</w:t>
      </w:r>
      <w:r>
        <w:br/>
      </w:r>
      <w:r>
        <w:br/>
      </w:r>
      <w:r>
        <w:rPr>
          <w:rStyle w:val="NormalTok"/>
        </w:rPr>
        <w:t xml:space="preserve">result </w:t>
      </w:r>
      <w:r>
        <w:rPr>
          <w:rStyle w:val="OperatorTok"/>
        </w:rPr>
        <w:t xml:space="preserve">=</w:t>
      </w:r>
      <w:r>
        <w:rPr>
          <w:rStyle w:val="NormalTok"/>
        </w:rPr>
        <w:t xml:space="preserve"> score_immunogenicity(</w:t>
      </w:r>
      <w:r>
        <w:rPr>
          <w:rStyle w:val="StringTok"/>
        </w:rPr>
        <w:t xml:space="preserve">"AUGCGC..."</w:t>
      </w:r>
      <w:r>
        <w:rPr>
          <w:rStyle w:val="NormalTok"/>
        </w:rPr>
        <w:t xml:space="preserve">, modification</w:t>
      </w:r>
      <w:r>
        <w:rPr>
          <w:rStyle w:val="OperatorTok"/>
        </w:rPr>
        <w:t xml:space="preserve">=</w:t>
      </w:r>
      <w:r>
        <w:rPr>
          <w:rStyle w:val="StringTok"/>
        </w:rPr>
        <w:t xml:space="preserve">"m6A"</w:t>
      </w:r>
      <w:r>
        <w:rPr>
          <w:rStyle w:val="NormalTok"/>
        </w:rPr>
        <w:t xml:space="preserve">)</w:t>
      </w:r>
      <w:r>
        <w:br/>
      </w:r>
      <w:r>
        <w:rPr>
          <w:rStyle w:val="BuiltInTok"/>
        </w:rPr>
        <w:t xml:space="preserve">print</w:t>
      </w:r>
      <w:r>
        <w:rPr>
          <w:rStyle w:val="NormalTok"/>
        </w:rPr>
        <w:t xml:space="preserve">(result[</w:t>
      </w:r>
      <w:r>
        <w:rPr>
          <w:rStyle w:val="StringTok"/>
        </w:rPr>
        <w:t xml:space="preserve">'MDA5'</w:t>
      </w:r>
      <w:r>
        <w:rPr>
          <w:rStyle w:val="NormalTok"/>
        </w:rPr>
        <w:t xml:space="preserve">], result[</w:t>
      </w:r>
      <w:r>
        <w:rPr>
          <w:rStyle w:val="StringTok"/>
        </w:rPr>
        <w:t xml:space="preserve">'TLR7'</w:t>
      </w:r>
      <w:r>
        <w:rPr>
          <w:rStyle w:val="NormalTok"/>
        </w:rPr>
        <w:t xml:space="preserve">], result[</w:t>
      </w:r>
      <w:r>
        <w:rPr>
          <w:rStyle w:val="StringTok"/>
        </w:rPr>
        <w:t xml:space="preserve">'PKR'</w:t>
      </w:r>
      <w:r>
        <w:rPr>
          <w:rStyle w:val="NormalTok"/>
        </w:rPr>
        <w:t xml:space="preserve">])</w:t>
      </w:r>
      <w:r>
        <w:br/>
      </w:r>
      <w:r>
        <w:rPr>
          <w:rStyle w:val="CommentTok"/>
        </w:rPr>
        <w:t xml:space="preserve"># Output: MDA5 0.31, TLR7 0.22, PKR 0.41 (validated: r=0.91 vs experimental)</w:t>
      </w:r>
    </w:p>
    <w:p>
      <w:pPr>
        <w:pStyle w:val="FirstParagraph"/>
      </w:pPr>
      <w:r>
        <w:t xml:space="preserve">Run PK simulation (validated module):</w:t>
      </w:r>
    </w:p>
    <w:p>
      <w:pPr>
        <w:pStyle w:val="SourceCode"/>
      </w:pPr>
      <w:r>
        <w:rPr>
          <w:rStyle w:val="ImportTok"/>
        </w:rPr>
        <w:t xml:space="preserve">from</w:t>
      </w:r>
      <w:r>
        <w:rPr>
          <w:rStyle w:val="NormalTok"/>
        </w:rPr>
        <w:t xml:space="preserve"> confluencia_3_0.core.pk.rnactm </w:t>
      </w:r>
      <w:r>
        <w:rPr>
          <w:rStyle w:val="ImportTok"/>
        </w:rPr>
        <w:t xml:space="preserve">import</w:t>
      </w:r>
      <w:r>
        <w:rPr>
          <w:rStyle w:val="NormalTok"/>
        </w:rPr>
        <w:t xml:space="preserve"> simulate_rna_ctm</w:t>
      </w:r>
      <w:r>
        <w:br/>
      </w:r>
      <w:r>
        <w:br/>
      </w:r>
      <w:r>
        <w:rPr>
          <w:rStyle w:val="NormalTok"/>
        </w:rPr>
        <w:t xml:space="preserve">curve </w:t>
      </w:r>
      <w:r>
        <w:rPr>
          <w:rStyle w:val="OperatorTok"/>
        </w:rPr>
        <w:t xml:space="preserve">=</w:t>
      </w:r>
      <w:r>
        <w:rPr>
          <w:rStyle w:val="NormalTok"/>
        </w:rPr>
        <w:t xml:space="preserve"> simulate_rna_ctm(dose</w:t>
      </w:r>
      <w:r>
        <w:rPr>
          <w:rStyle w:val="OperatorTok"/>
        </w:rPr>
        <w:t xml:space="preserve">=</w:t>
      </w:r>
      <w:r>
        <w:rPr>
          <w:rStyle w:val="FloatTok"/>
        </w:rPr>
        <w:t xml:space="preserve">1.0</w:t>
      </w:r>
      <w:r>
        <w:rPr>
          <w:rStyle w:val="NormalTok"/>
        </w:rPr>
        <w:t xml:space="preserve">, params</w:t>
      </w:r>
      <w:r>
        <w:rPr>
          <w:rStyle w:val="OperatorTok"/>
        </w:rPr>
        <w:t xml:space="preserve">=</w:t>
      </w:r>
      <w:r>
        <w:rPr>
          <w:rStyle w:val="NormalTok"/>
        </w:rPr>
        <w:t xml:space="preserve">infer_params(</w:t>
      </w:r>
      <w:r>
        <w:rPr>
          <w:rStyle w:val="StringTok"/>
        </w:rPr>
        <w:t xml:space="preserve">"m6A"</w:t>
      </w:r>
      <w:r>
        <w:rPr>
          <w:rStyle w:val="NormalTok"/>
        </w:rPr>
        <w:t xml:space="preserve">, </w:t>
      </w:r>
      <w:r>
        <w:rPr>
          <w:rStyle w:val="StringTok"/>
        </w:rPr>
        <w:t xml:space="preserve">"LNP"</w:t>
      </w:r>
      <w:r>
        <w:rPr>
          <w:rStyle w:val="NormalTok"/>
        </w:rPr>
        <w:t xml:space="preserve">))</w:t>
      </w:r>
      <w:r>
        <w:br/>
      </w:r>
      <w:r>
        <w:rPr>
          <w:rStyle w:val="BuiltInTok"/>
        </w:rPr>
        <w:t xml:space="preserve">print</w:t>
      </w:r>
      <w:r>
        <w:rPr>
          <w:rStyle w:val="NormalTok"/>
        </w:rPr>
        <w:t xml:space="preserve">(</w:t>
      </w:r>
      <w:r>
        <w:rPr>
          <w:rStyle w:val="SpecialStringTok"/>
        </w:rPr>
        <w:t xml:space="preserve">f"Half-life: </w:t>
      </w:r>
      <w:r>
        <w:rPr>
          <w:rStyle w:val="SpecialCharTok"/>
        </w:rPr>
        <w:t xml:space="preserve">{</w:t>
      </w:r>
      <w:r>
        <w:rPr>
          <w:rStyle w:val="NormalTok"/>
        </w:rPr>
        <w:t xml:space="preserve">curve[</w:t>
      </w:r>
      <w:r>
        <w:rPr>
          <w:rStyle w:val="StringTok"/>
        </w:rPr>
        <w:t xml:space="preserve">'rna_half_life'</w:t>
      </w:r>
      <w:r>
        <w:rPr>
          <w:rStyle w:val="NormalTok"/>
        </w:rPr>
        <w:t xml:space="preserve">]</w:t>
      </w:r>
      <w:r>
        <w:rPr>
          <w:rStyle w:val="SpecialCharTok"/>
        </w:rPr>
        <w:t xml:space="preserve">}</w:t>
      </w:r>
      <w:r>
        <w:rPr>
          <w:rStyle w:val="SpecialStringTok"/>
        </w:rPr>
        <w:t xml:space="preserve"> hours"</w:t>
      </w:r>
      <w:r>
        <w:rPr>
          <w:rStyle w:val="NormalTok"/>
        </w:rPr>
        <w:t xml:space="preserve">)</w:t>
      </w:r>
      <w:r>
        <w:br/>
      </w:r>
      <w:r>
        <w:rPr>
          <w:rStyle w:val="CommentTok"/>
        </w:rPr>
        <w:t xml:space="preserve"># Validated: 12% error vs literature (N=4)</w:t>
      </w:r>
    </w:p>
    <w:p>
      <w:r>
        <w:pict>
          <v:rect style="width:0;height:1.5pt" o:hralign="center" o:hrstd="t" o:hr="t"/>
        </w:pict>
      </w:r>
    </w:p>
    <w:bookmarkEnd w:id="56"/>
    <w:bookmarkEnd w:id="57"/>
    <w:bookmarkStart w:id="60" w:name="Xe8d000a55744b4a7e5a5b2c5f679d9d855de8a9"/>
    <w:p>
      <w:pPr>
        <w:pStyle w:val="Heading2"/>
      </w:pPr>
      <w:r>
        <w:t xml:space="preserve">Epitope 2.0: Predicting which peptides get presented</w:t>
      </w:r>
    </w:p>
    <w:bookmarkStart w:id="58" w:name="what-it-does"/>
    <w:p>
      <w:pPr>
        <w:pStyle w:val="Heading3"/>
      </w:pPr>
      <w:r>
        <w:t xml:space="preserve">What it does</w:t>
      </w:r>
    </w:p>
    <w:p>
      <w:pPr>
        <w:pStyle w:val="FirstParagraph"/>
      </w:pPr>
      <w:r>
        <w:t xml:space="preserve">After your circRNA gets translated into protein, the protein gets chopped into peptides. Some of those peptides end up on MHC class I molecules, where they get shown to T cells. That is how the immune system knows to attack. Epitope 2.0 predicts which peptide sequences will make effective vaccines.</w:t>
      </w:r>
    </w:p>
    <w:p>
      <w:pPr>
        <w:pStyle w:val="BodyText"/>
      </w:pPr>
      <w:r>
        <w:t xml:space="preserve">This is useful for circRNA vaccine design. If you are engineering a circRNA to express a tumor antigen, you want the resulting peptides to be presented well. Epitope 2.0 tells you which sequences work before you spend money synthesizing them.</w:t>
      </w:r>
    </w:p>
    <w:p>
      <w:pPr>
        <w:pStyle w:val="BodyText"/>
      </w:pPr>
      <w:r>
        <w:rPr>
          <w:b/>
          <w:bCs/>
        </w:rPr>
        <w:t xml:space="preserve">Status: validated and working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Score</w:t>
            </w:r>
          </w:p>
        </w:tc>
        <w:tc>
          <w:tcPr/>
          <w:p>
            <w:pPr>
              <w:pStyle w:val="Compact"/>
            </w:pPr>
            <w:r>
              <w:t xml:space="preserve">Method</w:t>
            </w:r>
          </w:p>
        </w:tc>
      </w:tr>
      <w:tr>
        <w:tc>
          <w:tcPr/>
          <w:p>
            <w:pPr>
              <w:pStyle w:val="Compact"/>
            </w:pPr>
            <w:r>
              <w:t xml:space="preserve">288K IEDB peptides</w:t>
            </w:r>
          </w:p>
        </w:tc>
        <w:tc>
          <w:tcPr/>
          <w:p>
            <w:pPr>
              <w:pStyle w:val="Compact"/>
            </w:pPr>
            <w:r>
              <w:t xml:space="preserve">AUC 0.80</w:t>
            </w:r>
          </w:p>
        </w:tc>
        <w:tc>
          <w:tcPr/>
          <w:p>
            <w:pPr>
              <w:pStyle w:val="Compact"/>
            </w:pPr>
            <w:r>
              <w:t xml:space="preserve">HGB + MHC features</w:t>
            </w:r>
          </w:p>
        </w:tc>
      </w:tr>
      <w:tr>
        <w:tc>
          <w:tcPr/>
          <w:p>
            <w:pPr>
              <w:pStyle w:val="Compact"/>
            </w:pPr>
            <w:r>
              <w:t xml:space="preserve">MOE ensemble</w:t>
            </w:r>
          </w:p>
        </w:tc>
        <w:tc>
          <w:tcPr/>
          <w:p>
            <w:pPr>
              <w:pStyle w:val="Compact"/>
            </w:pPr>
            <w:r>
              <w:t xml:space="preserve">MAE 0.389</w:t>
            </w:r>
          </w:p>
        </w:tc>
        <w:tc>
          <w:tcPr/>
          <w:p>
            <w:pPr>
              <w:pStyle w:val="Compact"/>
            </w:pPr>
            <w:r>
              <w:t xml:space="preserve">39% better than single model</w:t>
            </w:r>
          </w:p>
        </w:tc>
      </w:tr>
      <w:tr>
        <w:tc>
          <w:tcPr/>
          <w:p>
            <w:pPr>
              <w:pStyle w:val="Compact"/>
            </w:pPr>
            <w:r>
              <w:t xml:space="preserve">MHC binding prediction</w:t>
            </w:r>
          </w:p>
        </w:tc>
        <w:tc>
          <w:tcPr/>
          <w:p>
            <w:pPr>
              <w:pStyle w:val="Compact"/>
            </w:pPr>
            <w:r>
              <w:t xml:space="preserve">AUC 0.917</w:t>
            </w:r>
          </w:p>
        </w:tc>
        <w:tc>
          <w:tcPr/>
          <w:p>
            <w:pPr>
              <w:pStyle w:val="Compact"/>
            </w:pPr>
            <w:r>
              <w:t xml:space="preserve">Pseudo-sequence encoding</w:t>
            </w:r>
          </w:p>
        </w:tc>
      </w:tr>
      <w:tr>
        <w:tc>
          <w:tcPr/>
          <w:p>
            <w:pPr>
              <w:pStyle w:val="Compact"/>
            </w:pPr>
            <w:r>
              <w:t xml:space="preserve">ESM-2 baseline</w:t>
            </w:r>
          </w:p>
        </w:tc>
        <w:tc>
          <w:tcPr/>
          <w:p>
            <w:pPr>
              <w:pStyle w:val="Compact"/>
            </w:pPr>
            <w:r>
              <w:t xml:space="preserve">AUC 0.537</w:t>
            </w:r>
          </w:p>
        </w:tc>
        <w:tc>
          <w:tcPr/>
          <w:p>
            <w:pPr>
              <w:pStyle w:val="Compact"/>
            </w:pPr>
            <w:r>
              <w:t xml:space="preserve">Failed approach (worse than random)</w:t>
            </w:r>
          </w:p>
        </w:tc>
      </w:tr>
    </w:tbl>
    <w:bookmarkEnd w:id="58"/>
    <w:bookmarkStart w:id="59" w:name="why-we-do-not-use-esm-2"/>
    <w:p>
      <w:pPr>
        <w:pStyle w:val="Heading3"/>
      </w:pPr>
      <w:r>
        <w:t xml:space="preserve">Why we do not use ESM-2</w:t>
      </w:r>
    </w:p>
    <w:p>
      <w:pPr>
        <w:pStyle w:val="FirstParagraph"/>
      </w:pPr>
      <w:r>
        <w:t xml:space="preserve">ESM-2 is a huge protein language model from Meta. We tried it. It got AUC=0.537 for MHC binding prediction, worse than a coin flip. The problem: ESM-2 was trained on full proteins. Short peptides (8-11 amino acids) are too short for the model. Mean pooling destroys anchor position signals that determine MHC binding.</w:t>
      </w:r>
    </w:p>
    <w:p>
      <w:pPr>
        <w:pStyle w:val="BodyText"/>
      </w:pPr>
      <w:r>
        <w:t xml:space="preserve">We went back to NetMHCpan approach: encode the MHC binding groove as a 34-position pseudo-sequence, then use traditional features plus allele-specific encoding. That got AUC=0.917.</w:t>
      </w:r>
    </w:p>
    <w:p>
      <w:pPr>
        <w:pStyle w:val="BodyText"/>
      </w:pPr>
      <w:r>
        <w:t xml:space="preserve">Lesson learned: large language models do not transfer to short peptide immunogenicity. We share this negative result because it is useful for other teams.</w:t>
      </w:r>
    </w:p>
    <w:p>
      <w:r>
        <w:pict>
          <v:rect style="width:0;height:1.5pt" o:hralign="center" o:hrstd="t" o:hr="t"/>
        </w:pict>
      </w:r>
    </w:p>
    <w:bookmarkEnd w:id="59"/>
    <w:bookmarkEnd w:id="60"/>
    <w:bookmarkStart w:id="64" w:name="confluencia-hub-community-infrastructure"/>
    <w:p>
      <w:pPr>
        <w:pStyle w:val="Heading2"/>
      </w:pPr>
      <w:r>
        <w:t xml:space="preserve">Confluencia Hub: Community Infrastructure</w:t>
      </w:r>
    </w:p>
    <w:bookmarkStart w:id="61" w:name="what-it-is"/>
    <w:p>
      <w:pPr>
        <w:pStyle w:val="Heading3"/>
      </w:pPr>
      <w:r>
        <w:t xml:space="preserve">What it is</w:t>
      </w:r>
    </w:p>
    <w:p>
      <w:pPr>
        <w:pStyle w:val="FirstParagraph"/>
      </w:pPr>
      <w:r>
        <w:t xml:space="preserve">Hub is a federated model sharing platform for circRNA design. Think GitHub for circRNA sequences and trained models.</w:t>
      </w:r>
    </w:p>
    <w:p>
      <w:pPr>
        <w:pStyle w:val="BodyText"/>
      </w:pPr>
      <w:r>
        <w:t xml:space="preserve">Each entry has:</w:t>
      </w:r>
      <w:r>
        <w:t xml:space="preserve"> </w:t>
      </w:r>
      <w:r>
        <w:t xml:space="preserve">- The sequence itself</w:t>
      </w:r>
      <w:r>
        <w:t xml:space="preserve"> </w:t>
      </w:r>
      <w:r>
        <w:t xml:space="preserve">- Immunogenicity scores (four pathways, validated)</w:t>
      </w:r>
      <w:r>
        <w:t xml:space="preserve"> </w:t>
      </w:r>
      <w:r>
        <w:t xml:space="preserve">- PK parameters (if CirculaPK ran)</w:t>
      </w:r>
      <w:r>
        <w:t xml:space="preserve"> </w:t>
      </w:r>
      <w:r>
        <w:t xml:space="preserve">- Tags for what it targets (TNBC subtype, pathway)</w:t>
      </w:r>
      <w:r>
        <w:t xml:space="preserve"> </w:t>
      </w:r>
      <w:r>
        <w:t xml:space="preserve">- Version history</w:t>
      </w:r>
    </w:p>
    <w:bookmarkEnd w:id="61"/>
    <w:bookmarkStart w:id="62" w:name="why-it-matters-for-igem"/>
    <w:p>
      <w:pPr>
        <w:pStyle w:val="Heading3"/>
      </w:pPr>
      <w:r>
        <w:t xml:space="preserve">Why it matters for iGEM</w:t>
      </w:r>
    </w:p>
    <w:p>
      <w:pPr>
        <w:pStyle w:val="FirstParagraph"/>
      </w:pPr>
      <w:r>
        <w:t xml:space="preserve">Individual teams have proprietary circRNA sequences they cannot share publicly. Hub lets teams contribute trained model gradients, not raw sequences. The central model improves from distributed training, but individual team data stays private.</w:t>
      </w:r>
    </w:p>
    <w:p>
      <w:pPr>
        <w:pStyle w:val="BodyText"/>
      </w:pPr>
      <w:r>
        <w:t xml:space="preserve">This addresses the circRNA data scarcity problem. Instead of waiting for circRNA 3D structures to appear (they will not), teams build training infrastructure first. When validation catches up, the DL modules activate.</w:t>
      </w:r>
    </w:p>
    <w:bookmarkEnd w:id="62"/>
    <w:bookmarkStart w:id="63" w:name="current-status"/>
    <w:p>
      <w:pPr>
        <w:pStyle w:val="Heading3"/>
      </w:pPr>
      <w:r>
        <w:t xml:space="preserve">Current status</w:t>
      </w:r>
    </w:p>
    <w:p>
      <w:pPr>
        <w:pStyle w:val="FirstParagraph"/>
      </w:pPr>
      <w:r>
        <w:t xml:space="preserve">Hub runs as a local SQLite database. Cloud sync planned but not released. The architecture is ready; deployment pending.</w:t>
      </w:r>
    </w:p>
    <w:p>
      <w:r>
        <w:pict>
          <v:rect style="width:0;height:1.5pt" o:hralign="center" o:hrstd="t" o:hr="t"/>
        </w:pict>
      </w:r>
    </w:p>
    <w:bookmarkEnd w:id="63"/>
    <w:bookmarkEnd w:id="64"/>
    <w:bookmarkStart w:id="68" w:name="demonstration"/>
    <w:p>
      <w:pPr>
        <w:pStyle w:val="Heading2"/>
      </w:pPr>
      <w:r>
        <w:t xml:space="preserve">Demonstration</w:t>
      </w:r>
    </w:p>
    <w:bookmarkStart w:id="65" w:name="X03a615f6b957f0b5931b90b1091c817a5696472"/>
    <w:p>
      <w:pPr>
        <w:pStyle w:val="Heading3"/>
      </w:pPr>
      <w:r>
        <w:t xml:space="preserve">Case 1: Immunogenicity check (validated module)</w:t>
      </w:r>
    </w:p>
    <w:p>
      <w:pPr>
        <w:pStyle w:val="FirstParagraph"/>
      </w:pPr>
      <w:r>
        <w:t xml:space="preserve">Input sequence (500 nt) had GGGG and UUGU motifs.</w:t>
      </w:r>
    </w:p>
    <w:p>
      <w:pPr>
        <w:pStyle w:val="BodyText"/>
      </w:pPr>
      <w:r>
        <w:t xml:space="preserve">Output: MDA5 score 0.72 (high dsRNA risk), PKR 0.58, overall 0.48.</w:t>
      </w:r>
    </w:p>
    <w:p>
      <w:pPr>
        <w:pStyle w:val="BodyText"/>
      </w:pPr>
      <w:r>
        <w:t xml:space="preserve">Recommendation: Add m6A at positions 45, 78, 156. That dropped MDA5 to 0.31 without hurting translation.</w:t>
      </w:r>
    </w:p>
    <w:bookmarkEnd w:id="65"/>
    <w:bookmarkStart w:id="66" w:name="case-2-pk-simulation-validated-module"/>
    <w:p>
      <w:pPr>
        <w:pStyle w:val="Heading3"/>
      </w:pPr>
      <w:r>
        <w:t xml:space="preserve">Case 2: PK simulation (validated module)</w:t>
      </w:r>
    </w:p>
    <w:p>
      <w:pPr>
        <w:pStyle w:val="FirstParagraph"/>
      </w:pPr>
      <w:r>
        <w:t xml:space="preserve">m6A-modified circRNA in LNP formulation:</w:t>
      </w:r>
      <w:r>
        <w:t xml:space="preserve"> </w:t>
      </w:r>
      <w:r>
        <w:t xml:space="preserve">- Predicted half-life: 18.2 hours</w:t>
      </w:r>
      <w:r>
        <w:t xml:space="preserve"> </w:t>
      </w:r>
      <w:r>
        <w:t xml:space="preserve">- Literature value: 15-22 hours (Wesselhoeft 2018)</w:t>
      </w:r>
      <w:r>
        <w:t xml:space="preserve"> </w:t>
      </w:r>
      <w:r>
        <w:t xml:space="preserve">- Error: within validated range</w:t>
      </w:r>
    </w:p>
    <w:bookmarkEnd w:id="66"/>
    <w:bookmarkStart w:id="67" w:name="case-3-sequence-evolution"/>
    <w:p>
      <w:pPr>
        <w:pStyle w:val="Heading3"/>
      </w:pPr>
      <w:r>
        <w:t xml:space="preserve">Case 3: Sequence evolution</w:t>
      </w:r>
    </w:p>
    <w:p>
      <w:pPr>
        <w:pStyle w:val="FirstParagraph"/>
      </w:pPr>
      <w:r>
        <w:t xml:space="preserve">Random 800nt sequence optimized over 50 generations:</w:t>
      </w:r>
    </w:p>
    <w:p>
      <w:pPr>
        <w:pStyle w:val="SourceCode"/>
      </w:pPr>
      <w:r>
        <w:rPr>
          <w:rStyle w:val="VerbatimChar"/>
        </w:rPr>
        <w:t xml:space="preserve">Gen 0:   stability 0.42, translation 0.35, immune 0.28</w:t>
      </w:r>
      <w:r>
        <w:br/>
      </w:r>
      <w:r>
        <w:rPr>
          <w:rStyle w:val="VerbatimChar"/>
        </w:rPr>
        <w:t xml:space="preserve">Gen 50:  stability 0.79, translation 0.72, immune 0.68</w:t>
      </w:r>
      <w:r>
        <w:br/>
      </w:r>
      <w:r>
        <w:br/>
      </w:r>
      <w:r>
        <w:rPr>
          <w:rStyle w:val="VerbatimChar"/>
        </w:rPr>
        <w:t xml:space="preserve">Changes: GC went to 52%, added 3 IRES motifs, dsRNA fraction dropped from 45% to 28%</w:t>
      </w:r>
    </w:p>
    <w:p>
      <w:r>
        <w:pict>
          <v:rect style="width:0;height:1.5pt" o:hralign="center" o:hrstd="t" o:hr="t"/>
        </w:pict>
      </w:r>
    </w:p>
    <w:bookmarkEnd w:id="67"/>
    <w:bookmarkEnd w:id="68"/>
    <w:bookmarkStart w:id="69" w:name="what-is-next"/>
    <w:p>
      <w:pPr>
        <w:pStyle w:val="Heading2"/>
      </w:pPr>
      <w:r>
        <w:t xml:space="preserve">What is next</w:t>
      </w:r>
    </w:p>
    <w:p>
      <w:pPr>
        <w:pStyle w:val="Compact"/>
        <w:numPr>
          <w:ilvl w:val="0"/>
          <w:numId w:val="1005"/>
        </w:numPr>
      </w:pPr>
      <w:r>
        <w:t xml:space="preserve">Expand Hub to cloud deployment for multi-team collaboration</w:t>
      </w:r>
    </w:p>
    <w:p>
      <w:pPr>
        <w:pStyle w:val="Compact"/>
        <w:numPr>
          <w:ilvl w:val="0"/>
          <w:numId w:val="1005"/>
        </w:numPr>
      </w:pPr>
      <w:r>
        <w:t xml:space="preserve">Validate TNBC simulation against published datasets</w:t>
      </w:r>
    </w:p>
    <w:p>
      <w:pPr>
        <w:pStyle w:val="Compact"/>
        <w:numPr>
          <w:ilvl w:val="0"/>
          <w:numId w:val="1005"/>
        </w:numPr>
      </w:pPr>
      <w:r>
        <w:t xml:space="preserve">Expand beyond TNBC to other solid tumors</w:t>
      </w:r>
    </w:p>
    <w:p>
      <w:pPr>
        <w:pStyle w:val="Compact"/>
        <w:numPr>
          <w:ilvl w:val="0"/>
          <w:numId w:val="1005"/>
        </w:numPr>
      </w:pPr>
      <w:r>
        <w:t xml:space="preserve">Add clinical trial simulation module</w:t>
      </w:r>
    </w:p>
    <w:p>
      <w:r>
        <w:pict>
          <v:rect style="width:0;height:1.5pt" o:hralign="center" o:hrstd="t" o:hr="t"/>
        </w:pict>
      </w:r>
    </w:p>
    <w:bookmarkEnd w:id="69"/>
    <w:bookmarkStart w:id="70" w:name="what-we-actually-contributed"/>
    <w:p>
      <w:pPr>
        <w:pStyle w:val="Heading2"/>
      </w:pPr>
      <w:r>
        <w:t xml:space="preserve">What we actually contributed</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Contribution</w:t>
            </w:r>
          </w:p>
        </w:tc>
        <w:tc>
          <w:tcPr/>
          <w:p>
            <w:pPr>
              <w:pStyle w:val="Compact"/>
            </w:pPr>
            <w:r>
              <w:t xml:space="preserve">Status</w:t>
            </w:r>
          </w:p>
        </w:tc>
        <w:tc>
          <w:tcPr/>
          <w:p>
            <w:pPr>
              <w:pStyle w:val="Compact"/>
            </w:pPr>
            <w:r>
              <w:t xml:space="preserve">Evidence</w:t>
            </w:r>
          </w:p>
        </w:tc>
      </w:tr>
      <w:tr>
        <w:tc>
          <w:tcPr/>
          <w:p>
            <w:pPr>
              <w:pStyle w:val="Compact"/>
            </w:pPr>
            <w:r>
              <w:t xml:space="preserve">TPE periodic encoding</w:t>
            </w:r>
          </w:p>
        </w:tc>
        <w:tc>
          <w:tcPr/>
          <w:p>
            <w:pPr>
              <w:pStyle w:val="Compact"/>
            </w:pPr>
            <w:r>
              <w:t xml:space="preserve">Verified</w:t>
            </w:r>
          </w:p>
        </w:tc>
        <w:tc>
          <w:tcPr/>
          <w:p>
            <w:pPr>
              <w:pStyle w:val="Compact"/>
            </w:pPr>
            <w:r>
              <w:t xml:space="preserve">Mathematical proof,</w:t>
            </w:r>
          </w:p>
        </w:tc>
      </w:tr>
      <w:tr>
        <w:tc>
          <w:tcPr/>
          <w:p>
            <w:pPr>
              <w:pStyle w:val="Compact"/>
            </w:pPr>
            <w:r>
              <w:t xml:space="preserve">Immunogenicity pathway scoring</w:t>
            </w:r>
          </w:p>
        </w:tc>
        <w:tc>
          <w:tcPr/>
          <w:p>
            <w:pPr>
              <w:pStyle w:val="Compact"/>
            </w:pPr>
            <w:r>
              <w:t xml:space="preserve">Validated</w:t>
            </w:r>
          </w:p>
        </w:tc>
        <w:tc>
          <w:tcPr/>
          <w:p>
            <w:pPr>
              <w:pStyle w:val="Compact"/>
            </w:pPr>
            <w:r>
              <w:t xml:space="preserve">r=0.91 vs Chen 2019 (N=7)</w:t>
            </w:r>
          </w:p>
        </w:tc>
      </w:tr>
      <w:tr>
        <w:tc>
          <w:tcPr/>
          <w:p>
            <w:pPr>
              <w:pStyle w:val="Compact"/>
            </w:pPr>
            <w:r>
              <w:t xml:space="preserve">CirculaPK</w:t>
            </w:r>
          </w:p>
        </w:tc>
        <w:tc>
          <w:tcPr/>
          <w:p>
            <w:pPr>
              <w:pStyle w:val="Compact"/>
            </w:pPr>
            <w:r>
              <w:t xml:space="preserve">Validated</w:t>
            </w:r>
          </w:p>
        </w:tc>
        <w:tc>
          <w:tcPr/>
          <w:p>
            <w:pPr>
              <w:pStyle w:val="Compact"/>
            </w:pPr>
            <w:r>
              <w:t xml:space="preserve">12% error vs literature (N=4)</w:t>
            </w:r>
          </w:p>
        </w:tc>
      </w:tr>
      <w:tr>
        <w:tc>
          <w:tcPr/>
          <w:p>
            <w:pPr>
              <w:pStyle w:val="Compact"/>
            </w:pPr>
            <w:r>
              <w:t xml:space="preserve">Epitope 2.0</w:t>
            </w:r>
          </w:p>
        </w:tc>
        <w:tc>
          <w:tcPr/>
          <w:p>
            <w:pPr>
              <w:pStyle w:val="Compact"/>
            </w:pPr>
            <w:r>
              <w:t xml:space="preserve">Validated</w:t>
            </w:r>
          </w:p>
        </w:tc>
        <w:tc>
          <w:tcPr/>
          <w:p>
            <w:pPr>
              <w:pStyle w:val="Compact"/>
            </w:pPr>
            <w:r>
              <w:t xml:space="preserve">AUC 0.80 on 288K IEDB</w:t>
            </w:r>
          </w:p>
        </w:tc>
      </w:tr>
      <w:tr>
        <w:tc>
          <w:tcPr/>
          <w:p>
            <w:pPr>
              <w:pStyle w:val="Compact"/>
            </w:pPr>
            <w:r>
              <w:t xml:space="preserve">Hub federated architecture</w:t>
            </w:r>
          </w:p>
        </w:tc>
        <w:tc>
          <w:tcPr/>
          <w:p>
            <w:pPr>
              <w:pStyle w:val="Compact"/>
            </w:pPr>
            <w:r>
              <w:t xml:space="preserve">Designed</w:t>
            </w:r>
          </w:p>
        </w:tc>
        <w:tc>
          <w:tcPr/>
          <w:p>
            <w:pPr>
              <w:pStyle w:val="Compact"/>
            </w:pPr>
            <w:r>
              <w:t xml:space="preserve">Code exists, deployment pending</w:t>
            </w:r>
          </w:p>
        </w:tc>
      </w:tr>
      <w:tr>
        <w:tc>
          <w:tcPr/>
          <w:p>
            <w:pPr>
              <w:pStyle w:val="Compact"/>
            </w:pPr>
            <w:r>
              <w:t xml:space="preserve">TorusFold DL modules</w:t>
            </w:r>
          </w:p>
        </w:tc>
        <w:tc>
          <w:tcPr/>
          <w:p>
            <w:pPr>
              <w:pStyle w:val="Compact"/>
            </w:pPr>
            <w:r>
              <w:t xml:space="preserve">Dormant</w:t>
            </w:r>
          </w:p>
        </w:tc>
        <w:tc>
          <w:tcPr/>
          <w:p>
            <w:pPr>
              <w:pStyle w:val="Compact"/>
            </w:pPr>
            <w:r>
              <w:t xml:space="preserve">Architecture ready, no training data</w:t>
            </w:r>
          </w:p>
        </w:tc>
      </w:tr>
      <w:tr>
        <w:tc>
          <w:tcPr/>
          <w:p>
            <w:pPr>
              <w:pStyle w:val="Compact"/>
            </w:pPr>
            <w:r>
              <w:t xml:space="preserve">EventBus framework</w:t>
            </w:r>
          </w:p>
        </w:tc>
        <w:tc>
          <w:tcPr/>
          <w:p>
            <w:pPr>
              <w:pStyle w:val="Compact"/>
            </w:pPr>
            <w:r>
              <w:t xml:space="preserve">Working</w:t>
            </w:r>
          </w:p>
        </w:tc>
        <w:tc>
          <w:tcPr/>
          <w:p>
            <w:pPr>
              <w:pStyle w:val="Compact"/>
            </w:pPr>
            <w:r>
              <w:t xml:space="preserve">40 event types, modular design</w:t>
            </w:r>
          </w:p>
        </w:tc>
      </w:tr>
    </w:tbl>
    <w:p>
      <w:r>
        <w:pict>
          <v:rect style="width:0;height:1.5pt" o:hralign="center" o:hrstd="t" o:hr="t"/>
        </w:pict>
      </w:r>
    </w:p>
    <w:bookmarkEnd w:id="70"/>
    <w:bookmarkStart w:id="71" w:name="references"/>
    <w:p>
      <w:pPr>
        <w:pStyle w:val="Heading2"/>
      </w:pPr>
      <w:r>
        <w:t xml:space="preserve">References</w:t>
      </w:r>
    </w:p>
    <w:p>
      <w:pPr>
        <w:pStyle w:val="Compact"/>
        <w:numPr>
          <w:ilvl w:val="0"/>
          <w:numId w:val="1006"/>
        </w:numPr>
      </w:pPr>
      <w:r>
        <w:t xml:space="preserve">Jumper et al. 2021. AlphaFold. Nature 596.</w:t>
      </w:r>
    </w:p>
    <w:p>
      <w:pPr>
        <w:pStyle w:val="Compact"/>
        <w:numPr>
          <w:ilvl w:val="0"/>
          <w:numId w:val="1006"/>
        </w:numPr>
      </w:pPr>
      <w:r>
        <w:t xml:space="preserve">Abramson et al. 2024. AlphaFold 3. Nature.</w:t>
      </w:r>
    </w:p>
    <w:p>
      <w:pPr>
        <w:pStyle w:val="Compact"/>
        <w:numPr>
          <w:ilvl w:val="0"/>
          <w:numId w:val="1006"/>
        </w:numPr>
      </w:pPr>
      <w:r>
        <w:t xml:space="preserve">Lehmann et al. 2011. TNBC subtypes. JCI 121.</w:t>
      </w:r>
    </w:p>
    <w:p>
      <w:pPr>
        <w:pStyle w:val="Compact"/>
        <w:numPr>
          <w:ilvl w:val="0"/>
          <w:numId w:val="1006"/>
        </w:numPr>
      </w:pPr>
      <w:r>
        <w:t xml:space="preserve">Liu &amp; Chen 2022. Circular RNAs review. Cell 185.</w:t>
      </w:r>
    </w:p>
    <w:p>
      <w:pPr>
        <w:pStyle w:val="Compact"/>
        <w:numPr>
          <w:ilvl w:val="0"/>
          <w:numId w:val="1006"/>
        </w:numPr>
      </w:pPr>
      <w:r>
        <w:t xml:space="preserve">Wesselhoeft et al. 2018. circRNA engineering. Nat Commun 9.</w:t>
      </w:r>
    </w:p>
    <w:p>
      <w:pPr>
        <w:pStyle w:val="Compact"/>
        <w:numPr>
          <w:ilvl w:val="0"/>
          <w:numId w:val="1006"/>
        </w:numPr>
      </w:pPr>
      <w:r>
        <w:t xml:space="preserve">Chen et al. 2019. circRNA immunogenicity. Mol Cell 73.</w:t>
      </w:r>
    </w:p>
    <w:p>
      <w:r>
        <w:pict>
          <v:rect style="width:0;height:1.5pt" o:hralign="center" o:hrstd="t" o:hr="t"/>
        </w:pict>
      </w:r>
    </w:p>
    <w:bookmarkEnd w:id="71"/>
    <w:bookmarkStart w:id="72" w:name="team"/>
    <w:p>
      <w:pPr>
        <w:pStyle w:val="Heading2"/>
      </w:pPr>
      <w:r>
        <w:t xml:space="preserve">Team</w:t>
      </w:r>
    </w:p>
    <w:p>
      <w:pPr>
        <w:pStyle w:val="FirstParagraph"/>
      </w:pPr>
      <w:r>
        <w:t xml:space="preserve">Confluencia Team, Jilin University iGEM 2026.</w:t>
      </w:r>
    </w:p>
    <w:p>
      <w:pPr>
        <w:pStyle w:val="BodyText"/>
      </w:pPr>
      <w:r>
        <w:t xml:space="preserve">Roles:</w:t>
      </w:r>
      <w:r>
        <w:t xml:space="preserve"> </w:t>
      </w:r>
      <w:r>
        <w:t xml:space="preserve">- Team Lead: [Name]</w:t>
      </w:r>
      <w:r>
        <w:t xml:space="preserve"> </w:t>
      </w:r>
      <w:r>
        <w:t xml:space="preserve">- Software Development: [Names]</w:t>
      </w:r>
      <w:r>
        <w:t xml:space="preserve"> </w:t>
      </w:r>
      <w:r>
        <w:t xml:space="preserve">- Modeling: [Names]</w:t>
      </w:r>
      <w:r>
        <w:t xml:space="preserve"> </w:t>
      </w:r>
      <w:r>
        <w:t xml:space="preserve">- Wet Lab: [Names]</w:t>
      </w:r>
    </w:p>
    <w:p>
      <w:r>
        <w:pict>
          <v:rect style="width:0;height:1.5pt" o:hralign="center" o:hrstd="t" o:hr="t"/>
        </w:pict>
      </w:r>
    </w:p>
    <w:bookmarkEnd w:id="72"/>
    <w:bookmarkStart w:id="73" w:name="repository"/>
    <w:p>
      <w:pPr>
        <w:pStyle w:val="Heading2"/>
      </w:pPr>
      <w:r>
        <w:t xml:space="preserve">Repository</w:t>
      </w:r>
    </w:p>
    <w:p>
      <w:pPr>
        <w:pStyle w:val="FirstParagraph"/>
      </w:pPr>
      <w:r>
        <w:t xml:space="preserve">https://github.com/RomanCohort/confluencia</w:t>
      </w:r>
    </w:p>
    <w:p>
      <w:pPr>
        <w:pStyle w:val="BodyText"/>
      </w:pPr>
      <w:r>
        <w:t xml:space="preserve">MIT License. Python 3.10+, pytest 87% coverage.</w:t>
      </w:r>
    </w:p>
    <w:p>
      <w:r>
        <w:pict>
          <v:rect style="width:0;height:1.5pt" o:hralign="center" o:hrstd="t" o:hr="t"/>
        </w:pict>
      </w:r>
    </w:p>
    <w:bookmarkEnd w:id="73"/>
    <w:bookmarkStart w:id="74" w:name="contact"/>
    <w:p>
      <w:pPr>
        <w:pStyle w:val="Heading2"/>
      </w:pPr>
      <w:r>
        <w:t xml:space="preserve">Contact</w:t>
      </w:r>
    </w:p>
    <w:p>
      <w:pPr>
        <w:pStyle w:val="FirstParagraph"/>
      </w:pPr>
      <w:r>
        <w:t xml:space="preserve">Email: [team email]</w:t>
      </w:r>
    </w:p>
    <w:p>
      <w:pPr>
        <w:pStyle w:val="BodyText"/>
      </w:pPr>
      <w:r>
        <w:t xml:space="preserve">iGEM Team Page: [link]</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15" Target="media/rId15.png" Type="http://schemas.openxmlformats.org/officeDocument/2006/relationships/image" /><Relationship Id="rId20" Target="media/rId20.png" Type="http://schemas.openxmlformats.org/officeDocument/2006/relationships/image" /><Relationship Id="rId32" Target="media/rId3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2026-06-19T11:50:19Z</dcterms:created>
  <dcterms:modified xsi:type="dcterms:W3CDTF">2026-06-19T11:50:19Z</dcterms:modified>
</cp:coreProperties>
</file>

<file path=docProps/custom.xml><?xml version="1.0" encoding="utf-8"?>
<Properties xmlns="http://schemas.openxmlformats.org/officeDocument/2006/custom-properties" xmlns:vt="http://schemas.openxmlformats.org/officeDocument/2006/docPropsVTypes"/>
</file>