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Arial" w:cs="Arial" w:eastAsia="Arial" w:hAnsi="Arial"/>
          <w:b/>
          <w:bCs/>
          <w:i w:val="false"/>
          <w:iCs w:val="false"/>
          <w:sz w:val="28"/>
          <w:szCs w:val="28"/>
        </w:rPr>
        <w:t xml:space="preserve">UNIVERSIDADE PAULISTA – UNIP EaD</w:t>
      </w:r>
    </w:p>
    <w:p>
      <w:pPr>
        <w:spacing w:line="360"/>
      </w:pPr>
      <w:r>
        <w:rPr>
          <w:rFonts w:ascii="Arial" w:cs="Arial" w:eastAsia="Arial" w:hAnsi="Arial"/>
          <w:sz w:val="24"/>
          <w:szCs w:val="24"/>
        </w:rPr>
        <w:t xml:space="preserve"/>
      </w:r>
    </w:p>
    <w:p>
      <w:pPr>
        <w:spacing w:after="0" w:before="0" w:line="360"/>
        <w:jc w:val="center"/>
      </w:pPr>
      <w:r>
        <w:rPr>
          <w:rFonts w:ascii="Arial" w:cs="Arial" w:eastAsia="Arial" w:hAnsi="Arial"/>
          <w:b/>
          <w:bCs/>
          <w:i w:val="false"/>
          <w:iCs w:val="false"/>
          <w:sz w:val="24"/>
          <w:szCs w:val="24"/>
        </w:rPr>
        <w:t xml:space="preserve">Projeto Integrado Multidisciplinar</w:t>
      </w:r>
    </w:p>
    <w:p>
      <w:pPr>
        <w:spacing w:line="360"/>
      </w:pPr>
      <w:r>
        <w:rPr>
          <w:rFonts w:ascii="Arial" w:cs="Arial" w:eastAsia="Arial" w:hAnsi="Arial"/>
          <w:sz w:val="24"/>
          <w:szCs w:val="24"/>
        </w:rPr>
        <w:t xml:space="preserve"/>
      </w:r>
    </w:p>
    <w:p>
      <w:pPr>
        <w:spacing w:after="0" w:before="0" w:line="360"/>
        <w:jc w:val="center"/>
      </w:pPr>
      <w:r>
        <w:rPr>
          <w:rFonts w:ascii="Arial" w:cs="Arial" w:eastAsia="Arial" w:hAnsi="Arial"/>
          <w:b w:val="false"/>
          <w:bCs w:val="false"/>
          <w:i w:val="false"/>
          <w:iCs w:val="false"/>
          <w:sz w:val="24"/>
          <w:szCs w:val="24"/>
        </w:rPr>
        <w:t xml:space="preserve">Curso Superior de Tecnologia em</w:t>
      </w:r>
    </w:p>
    <w:p>
      <w:pPr>
        <w:spacing w:after="0" w:before="0" w:line="360"/>
        <w:jc w:val="center"/>
      </w:pPr>
      <w:r>
        <w:rPr>
          <w:rFonts w:ascii="Arial" w:cs="Arial" w:eastAsia="Arial" w:hAnsi="Arial"/>
          <w:b w:val="false"/>
          <w:bCs w:val="false"/>
          <w:i w:val="false"/>
          <w:iCs w:val="false"/>
          <w:sz w:val="24"/>
          <w:szCs w:val="24"/>
        </w:rPr>
        <w:t xml:space="preserve">Análise e Desenvolvimento de Sistemas</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after="0" w:before="0" w:line="360"/>
        <w:jc w:val="center"/>
      </w:pPr>
      <w:r>
        <w:rPr>
          <w:rFonts w:ascii="Arial" w:cs="Arial" w:eastAsia="Arial" w:hAnsi="Arial"/>
          <w:b/>
          <w:bCs/>
          <w:i w:val="false"/>
          <w:iCs w:val="false"/>
          <w:sz w:val="24"/>
          <w:szCs w:val="24"/>
        </w:rPr>
        <w:t xml:space="preserve">ENZO XAVIER SANTOS – RA: 2620639</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after="0" w:before="0" w:line="360"/>
        <w:jc w:val="center"/>
      </w:pPr>
      <w:r>
        <w:rPr>
          <w:rFonts w:ascii="Arial" w:cs="Arial" w:eastAsia="Arial" w:hAnsi="Arial"/>
          <w:b/>
          <w:bCs/>
          <w:i w:val="false"/>
          <w:iCs w:val="false"/>
          <w:sz w:val="28"/>
          <w:szCs w:val="28"/>
        </w:rPr>
        <w:t xml:space="preserve">AMBIENTE VIRTUAL RESPONSIVO PARA</w:t>
      </w:r>
    </w:p>
    <w:p>
      <w:pPr>
        <w:spacing w:after="0" w:before="0" w:line="360"/>
        <w:jc w:val="center"/>
      </w:pPr>
      <w:r>
        <w:rPr>
          <w:rFonts w:ascii="Arial" w:cs="Arial" w:eastAsia="Arial" w:hAnsi="Arial"/>
          <w:b/>
          <w:bCs/>
          <w:i w:val="false"/>
          <w:iCs w:val="false"/>
          <w:sz w:val="28"/>
          <w:szCs w:val="28"/>
        </w:rPr>
        <w:t xml:space="preserve">EVENTOS ACADÊMICOS INCLUSIVOS EM TI</w:t>
      </w:r>
    </w:p>
    <w:p>
      <w:pPr>
        <w:spacing w:line="360"/>
      </w:pPr>
      <w:r>
        <w:rPr>
          <w:rFonts w:ascii="Arial" w:cs="Arial" w:eastAsia="Arial" w:hAnsi="Arial"/>
          <w:sz w:val="24"/>
          <w:szCs w:val="24"/>
        </w:rPr>
        <w:t xml:space="preserve"/>
      </w:r>
    </w:p>
    <w:p>
      <w:pPr>
        <w:spacing w:after="0" w:before="0" w:line="360"/>
        <w:jc w:val="center"/>
      </w:pPr>
      <w:r>
        <w:rPr>
          <w:rFonts w:ascii="Arial" w:cs="Arial" w:eastAsia="Arial" w:hAnsi="Arial"/>
          <w:b w:val="false"/>
          <w:bCs w:val="false"/>
          <w:i/>
          <w:iCs/>
          <w:sz w:val="24"/>
          <w:szCs w:val="24"/>
        </w:rPr>
        <w:t xml:space="preserve">Semana de TI Inclusiva UNIP 2026</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after="0" w:before="0" w:line="360"/>
        <w:jc w:val="center"/>
      </w:pPr>
      <w:r>
        <w:rPr>
          <w:rFonts w:ascii="Arial" w:cs="Arial" w:eastAsia="Arial" w:hAnsi="Arial"/>
          <w:b w:val="false"/>
          <w:bCs w:val="false"/>
          <w:i w:val="false"/>
          <w:iCs w:val="false"/>
          <w:sz w:val="24"/>
          <w:szCs w:val="24"/>
        </w:rPr>
        <w:t xml:space="preserve">São Paulo</w:t>
      </w:r>
    </w:p>
    <w:p>
      <w:pPr>
        <w:spacing w:after="0" w:before="0" w:line="360"/>
        <w:jc w:val="center"/>
      </w:pPr>
      <w:r>
        <w:rPr>
          <w:rFonts w:ascii="Arial" w:cs="Arial" w:eastAsia="Arial" w:hAnsi="Arial"/>
          <w:b/>
          <w:bCs/>
          <w:i w:val="false"/>
          <w:iCs w:val="false"/>
          <w:sz w:val="24"/>
          <w:szCs w:val="24"/>
        </w:rPr>
        <w:t xml:space="preserve">2026</w:t>
      </w:r>
    </w:p>
    <w:p>
      <w:r>
        <w:br w:type="page"/>
      </w:r>
    </w:p>
    <w:p>
      <w:pPr>
        <w:spacing w:after="0" w:before="0" w:line="360"/>
        <w:jc w:val="center"/>
      </w:pPr>
      <w:r>
        <w:rPr>
          <w:rFonts w:ascii="Arial" w:cs="Arial" w:eastAsia="Arial" w:hAnsi="Arial"/>
          <w:b/>
          <w:bCs/>
          <w:i w:val="false"/>
          <w:iCs w:val="false"/>
          <w:sz w:val="24"/>
          <w:szCs w:val="24"/>
        </w:rPr>
        <w:t xml:space="preserve">ENZO XAVIER SANTOS – RA: 2620639</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after="0" w:before="0" w:line="360"/>
        <w:jc w:val="center"/>
      </w:pPr>
      <w:r>
        <w:rPr>
          <w:rFonts w:ascii="Arial" w:cs="Arial" w:eastAsia="Arial" w:hAnsi="Arial"/>
          <w:b/>
          <w:bCs/>
          <w:i w:val="false"/>
          <w:iCs w:val="false"/>
          <w:sz w:val="28"/>
          <w:szCs w:val="28"/>
        </w:rPr>
        <w:t xml:space="preserve">AMBIENTE VIRTUAL RESPONSIVO PARA</w:t>
      </w:r>
    </w:p>
    <w:p>
      <w:pPr>
        <w:spacing w:after="0" w:before="0" w:line="360"/>
        <w:jc w:val="center"/>
      </w:pPr>
      <w:r>
        <w:rPr>
          <w:rFonts w:ascii="Arial" w:cs="Arial" w:eastAsia="Arial" w:hAnsi="Arial"/>
          <w:b/>
          <w:bCs/>
          <w:i w:val="false"/>
          <w:iCs w:val="false"/>
          <w:sz w:val="28"/>
          <w:szCs w:val="28"/>
        </w:rPr>
        <w:t xml:space="preserve">EVENTOS ACADÊMICOS INCLUSIVOS EM TI</w:t>
      </w:r>
    </w:p>
    <w:p>
      <w:pPr>
        <w:spacing w:line="360"/>
      </w:pPr>
      <w:r>
        <w:rPr>
          <w:rFonts w:ascii="Arial" w:cs="Arial" w:eastAsia="Arial" w:hAnsi="Arial"/>
          <w:sz w:val="24"/>
          <w:szCs w:val="24"/>
        </w:rPr>
        <w:t xml:space="preserve"/>
      </w:r>
    </w:p>
    <w:p>
      <w:pPr>
        <w:spacing w:after="0" w:before="0" w:line="360"/>
        <w:jc w:val="center"/>
      </w:pPr>
      <w:r>
        <w:rPr>
          <w:rFonts w:ascii="Arial" w:cs="Arial" w:eastAsia="Arial" w:hAnsi="Arial"/>
          <w:b w:val="false"/>
          <w:bCs w:val="false"/>
          <w:i/>
          <w:iCs/>
          <w:sz w:val="24"/>
          <w:szCs w:val="24"/>
        </w:rPr>
        <w:t xml:space="preserve">Semana de TI Inclusiva UNIP 2026</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240"/>
        <w:ind w:left="4536"/>
        <w:jc w:val="both"/>
      </w:pPr>
      <w:r>
        <w:rPr>
          <w:rFonts w:ascii="Arial" w:cs="Arial" w:eastAsia="Arial" w:hAnsi="Arial"/>
          <w:sz w:val="24"/>
          <w:szCs w:val="24"/>
        </w:rPr>
        <w:t xml:space="preserve">Projeto Integrado Multidisciplinar para obtenção do título de tecnólogo em Análise e Desenvolvimento de Sistemas, apresentado à Universidade Paulista – UNIP EaD.</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after="0" w:before="0" w:line="360"/>
        <w:jc w:val="center"/>
      </w:pPr>
      <w:r>
        <w:rPr>
          <w:rFonts w:ascii="Arial" w:cs="Arial" w:eastAsia="Arial" w:hAnsi="Arial"/>
          <w:b w:val="false"/>
          <w:bCs w:val="false"/>
          <w:i w:val="false"/>
          <w:iCs w:val="false"/>
          <w:sz w:val="24"/>
          <w:szCs w:val="24"/>
        </w:rPr>
        <w:t xml:space="preserve">São Paulo</w:t>
      </w:r>
    </w:p>
    <w:p>
      <w:pPr>
        <w:spacing w:after="0" w:before="0" w:line="360"/>
        <w:jc w:val="center"/>
      </w:pPr>
      <w:r>
        <w:rPr>
          <w:rFonts w:ascii="Arial" w:cs="Arial" w:eastAsia="Arial" w:hAnsi="Arial"/>
          <w:b/>
          <w:bCs/>
          <w:i w:val="false"/>
          <w:iCs w:val="false"/>
          <w:sz w:val="24"/>
          <w:szCs w:val="24"/>
        </w:rPr>
        <w:t xml:space="preserve">2026</w:t>
      </w:r>
    </w:p>
    <w:p>
      <w:pPr>
        <w:sectPr>
          <w:pgSz w:w="11906" w:h="16838" w:orient="portrait"/>
          <w:pgMar w:top="1701" w:right="1134" w:bottom="1134" w:left="1701" w:header="708" w:footer="708" w:gutter="0"/>
          <w:pgNumType/>
          <w:docGrid w:linePitch="360"/>
        </w:sectPr>
      </w:pPr>
    </w:p>
    <w:p>
      <w:r>
        <w:br w:type="page"/>
      </w:r>
    </w:p>
    <w:p>
      <w:pPr>
        <w:spacing w:after="0" w:before="0" w:line="360"/>
        <w:jc w:val="center"/>
      </w:pPr>
      <w:r>
        <w:rPr>
          <w:rFonts w:ascii="Arial" w:cs="Arial" w:eastAsia="Arial" w:hAnsi="Arial"/>
          <w:b/>
          <w:bCs/>
          <w:i w:val="false"/>
          <w:iCs w:val="false"/>
          <w:sz w:val="28"/>
          <w:szCs w:val="28"/>
        </w:rPr>
        <w:t xml:space="preserve">RESUMO</w:t>
      </w:r>
    </w:p>
    <w:p>
      <w:pPr>
        <w:spacing w:line="360"/>
      </w:pPr>
      <w:r>
        <w:rPr>
          <w:rFonts w:ascii="Arial" w:cs="Arial" w:eastAsia="Arial" w:hAnsi="Arial"/>
          <w:sz w:val="24"/>
          <w:szCs w:val="24"/>
        </w:rPr>
        <w:t xml:space="preserve"/>
      </w:r>
    </w:p>
    <w:p>
      <w:pPr>
        <w:spacing w:after="0" w:before="0" w:line="360"/>
        <w:ind w:firstLine="851"/>
        <w:jc w:val="both"/>
      </w:pPr>
      <w:r>
        <w:rPr>
          <w:rFonts w:ascii="Arial" w:cs="Arial" w:eastAsia="Arial" w:hAnsi="Arial"/>
          <w:b w:val="false"/>
          <w:bCs w:val="false"/>
          <w:i w:val="false"/>
          <w:iCs w:val="false"/>
          <w:sz w:val="24"/>
          <w:szCs w:val="24"/>
        </w:rPr>
        <w:t xml:space="preserve">O presente trabalho descreve o desenvolvimento de um ambiente virtual responsivo para o planejamento, divulgação, realização e acompanhamento de eventos acadêmicos inclusivos na área de Tecnologia da Informação. O projeto, denominado “Semana de TI Inclusiva UNIP 2026”, integra quatro disciplinas do segundo semestre do curso de Análise e Desenvolvimento de Sistemas da Universidade Paulista: Desenvolvimento Web Responsivo, Programação Orientada a Objetos com C#, Comunicação, Liderança e Negociação, e Língua Brasileira de Sinais (Libras). A solução compreende uma API REST construída com ASP.NET Core em C#, que implementa conceitos fundamentais de orientação a objetos como herança, encapsulamento, polimorfismo e interfaces, com persistência de dados em arquivos CSV. O frontend foi desenvolvido em HTML5, CSS3 e JavaScript vanilla, seguindo a abordagem mobile-first com layout responsivo adaptável a dispositivos de 375px até 1280px de largura. O sistema contempla funcionalidades de cadastro de participantes, inscrição em atividades, emissão e validação de certificados, glossário de termos de TI em Libras e área do participante com notificações. A dimensão comunicacional do projeto inclui um plano de comunicação e gestão relacional do evento, com mapeamento de públicos, canais e cenários de negociação. A acessibilidade foi tratada como requisito transversal, com suporte a intérpretes de Libras, glossário bilíngue e recursos de interface acessível conforme diretrizes WCAG. O trabalho demonstra como a convergência entre desenvolvimento web, orientação a objetos, comunicação organizacional e Libras permite construir um ecossistema acadêmico mais inclusivo e replicável.</w:t>
      </w:r>
    </w:p>
    <w:p>
      <w:pPr>
        <w:spacing w:line="360"/>
      </w:pPr>
      <w:r>
        <w:rPr>
          <w:rFonts w:ascii="Arial" w:cs="Arial" w:eastAsia="Arial" w:hAnsi="Arial"/>
          <w:sz w:val="24"/>
          <w:szCs w:val="24"/>
        </w:rPr>
        <w:t xml:space="preserve"/>
      </w:r>
    </w:p>
    <w:p>
      <w:pPr>
        <w:spacing w:after="0" w:before="0" w:line="360"/>
        <w:jc w:val="both"/>
      </w:pPr>
      <w:r>
        <w:rPr>
          <w:rFonts w:ascii="Arial" w:cs="Arial" w:eastAsia="Arial" w:hAnsi="Arial"/>
          <w:b/>
          <w:bCs/>
          <w:i w:val="false"/>
          <w:iCs w:val="false"/>
          <w:sz w:val="24"/>
          <w:szCs w:val="24"/>
        </w:rPr>
        <w:t xml:space="preserve">Palavras-chave: </w:t>
      </w:r>
      <w:r>
        <w:rPr>
          <w:rFonts w:ascii="Arial" w:cs="Arial" w:eastAsia="Arial" w:hAnsi="Arial"/>
          <w:b w:val="false"/>
          <w:bCs w:val="false"/>
          <w:i w:val="false"/>
          <w:iCs w:val="false"/>
          <w:sz w:val="24"/>
          <w:szCs w:val="24"/>
        </w:rPr>
        <w:t xml:space="preserve">Ambiente Virtual. Responsividade. Acessibilidade. Libras. Eventos Acadêmicos. ASP.NET Core. Orientação a Objetos.</w:t>
      </w:r>
    </w:p>
    <w:p>
      <w:r>
        <w:br w:type="page"/>
      </w:r>
    </w:p>
    <w:p>
      <w:pPr>
        <w:spacing w:after="0" w:before="0" w:line="360"/>
        <w:jc w:val="center"/>
      </w:pPr>
      <w:r>
        <w:rPr>
          <w:rFonts w:ascii="Arial" w:cs="Arial" w:eastAsia="Arial" w:hAnsi="Arial"/>
          <w:b/>
          <w:bCs/>
          <w:i w:val="false"/>
          <w:iCs w:val="false"/>
          <w:sz w:val="28"/>
          <w:szCs w:val="28"/>
        </w:rPr>
        <w:t xml:space="preserve">ABSTRACT</w:t>
      </w:r>
    </w:p>
    <w:p>
      <w:pPr>
        <w:spacing w:line="360"/>
      </w:pPr>
      <w:r>
        <w:rPr>
          <w:rFonts w:ascii="Arial" w:cs="Arial" w:eastAsia="Arial" w:hAnsi="Arial"/>
          <w:sz w:val="24"/>
          <w:szCs w:val="24"/>
        </w:rPr>
        <w:t xml:space="preserve"/>
      </w:r>
    </w:p>
    <w:p>
      <w:pPr>
        <w:spacing w:line="360"/>
        <w:ind w:firstLine="851"/>
        <w:jc w:val="both"/>
      </w:pPr>
      <w:r>
        <w:rPr>
          <w:rFonts w:ascii="Arial" w:cs="Arial" w:eastAsia="Arial" w:hAnsi="Arial"/>
          <w:sz w:val="24"/>
          <w:szCs w:val="24"/>
        </w:rPr>
        <w:t xml:space="preserve">This paper describes the development of a responsive virtual environment for planning, promoting, conducting and monitoring inclusive academic events in the field of Information Technology. The project, named “Inclusive IT Week UNIP 2026”, integrates four subjects from the second semester of the Systems Analysis and Development program at Universidade Paulista: Responsive Web Development, Object-Oriented Programming with C#, Communication, Leadership and Negotiation, and Brazilian Sign Language (Libras). The solution comprises a REST API built with ASP.NET Core in C#, implementing fundamental object-oriented concepts such as inheritance, encapsulation, polymorphism and interfaces, with data persistence in CSV files. The frontend was developed using HTML5, CSS3 and vanilla JavaScript, following a mobile-first approach with a responsive layout adaptable to devices from 375px to 1280px wide. The system includes participant registration, activity enrollment, certificate issuance and validation, a glossary of IT terms in Libras and a participant area with notifications. The communication dimension of the project includes an event communication and relational management plan, with audience mapping, channels and negotiation scenarios. Accessibility was treated as a cross-cutting requirement, with support for Libras interpreters, a bilingual glossary and accessible interface features according to WCAG guidelines. The work demonstrates how the convergence of web development, object-oriented programming, organizational communication and Libras enables building a more inclusive and replicable academic ecosystem.</w:t>
      </w:r>
    </w:p>
    <w:p>
      <w:pPr>
        <w:spacing w:line="360"/>
      </w:pPr>
      <w:r>
        <w:rPr>
          <w:rFonts w:ascii="Arial" w:cs="Arial" w:eastAsia="Arial" w:hAnsi="Arial"/>
          <w:sz w:val="24"/>
          <w:szCs w:val="24"/>
        </w:rPr>
        <w:t xml:space="preserve"/>
      </w:r>
    </w:p>
    <w:p>
      <w:pPr>
        <w:spacing w:after="0" w:before="0" w:line="360"/>
        <w:jc w:val="both"/>
      </w:pPr>
      <w:r>
        <w:rPr>
          <w:rFonts w:ascii="Arial" w:cs="Arial" w:eastAsia="Arial" w:hAnsi="Arial"/>
          <w:b/>
          <w:bCs/>
          <w:i/>
          <w:iCs/>
          <w:sz w:val="24"/>
          <w:szCs w:val="24"/>
        </w:rPr>
        <w:t xml:space="preserve">Keywords: </w:t>
      </w:r>
      <w:r>
        <w:rPr>
          <w:rFonts w:ascii="Arial" w:cs="Arial" w:eastAsia="Arial" w:hAnsi="Arial"/>
          <w:b w:val="false"/>
          <w:bCs w:val="false"/>
          <w:i/>
          <w:iCs/>
          <w:sz w:val="24"/>
          <w:szCs w:val="24"/>
        </w:rPr>
        <w:t xml:space="preserve">Virtual Environment. Responsiveness. Accessibility. Libras. Academic Events. ASP.NET Core. Object-Oriented Programming.</w:t>
      </w:r>
    </w:p>
    <w:p>
      <w:r>
        <w:br w:type="page"/>
      </w:r>
    </w:p>
    <w:p>
      <w:pPr>
        <w:spacing w:after="0" w:before="0" w:line="360"/>
        <w:jc w:val="center"/>
      </w:pPr>
      <w:r>
        <w:rPr>
          <w:rFonts w:ascii="Arial" w:cs="Arial" w:eastAsia="Arial" w:hAnsi="Arial"/>
          <w:b/>
          <w:bCs/>
          <w:i w:val="false"/>
          <w:iCs w:val="false"/>
          <w:sz w:val="28"/>
          <w:szCs w:val="28"/>
        </w:rPr>
        <w:t xml:space="preserve">SUMÁRIO</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tabs>
          <w:tab w:val="right" w:pos="9026"/>
        </w:tabs>
        <w:spacing w:line="360"/>
      </w:pPr>
      <w:r>
        <w:rPr>
          <w:rFonts w:ascii="Arial" w:cs="Arial" w:eastAsia="Arial" w:hAnsi="Arial"/>
          <w:b/>
          <w:bCs/>
          <w:sz w:val="24"/>
          <w:szCs w:val="24"/>
        </w:rPr>
        <w:t xml:space="preserve">1 INTRODUÇÃO</w:t>
      </w:r>
      <w:r>
        <w:rPr>
          <w:rFonts w:ascii="Arial" w:cs="Arial" w:eastAsia="Arial" w:hAnsi="Arial"/>
          <w:sz w:val="24"/>
          <w:szCs w:val="24"/>
        </w:rPr>
        <w:t xml:space="preserve">	6</w:t>
      </w:r>
    </w:p>
    <w:p>
      <w:pPr>
        <w:tabs>
          <w:tab w:val="right" w:pos="9026"/>
        </w:tabs>
        <w:spacing w:line="360"/>
      </w:pPr>
      <w:r>
        <w:rPr>
          <w:rFonts w:ascii="Arial" w:cs="Arial" w:eastAsia="Arial" w:hAnsi="Arial"/>
          <w:b/>
          <w:bCs/>
          <w:sz w:val="24"/>
          <w:szCs w:val="24"/>
        </w:rPr>
        <w:t xml:space="preserve">2 FUNDAMENTAÇÃO TEÓRICA</w:t>
      </w:r>
      <w:r>
        <w:rPr>
          <w:rFonts w:ascii="Arial" w:cs="Arial" w:eastAsia="Arial" w:hAnsi="Arial"/>
          <w:sz w:val="24"/>
          <w:szCs w:val="24"/>
        </w:rPr>
        <w:t xml:space="preserve">	8</w:t>
      </w:r>
    </w:p>
    <w:p>
      <w:pPr>
        <w:tabs>
          <w:tab w:val="right" w:pos="9026"/>
        </w:tabs>
        <w:spacing w:line="360"/>
      </w:pPr>
      <w:r>
        <w:rPr>
          <w:rFonts w:ascii="Arial" w:cs="Arial" w:eastAsia="Arial" w:hAnsi="Arial"/>
          <w:b w:val="false"/>
          <w:bCs w:val="false"/>
          <w:sz w:val="24"/>
          <w:szCs w:val="24"/>
        </w:rPr>
        <w:t xml:space="preserve">2.1 Desenvolvimento Web Responsivo</w:t>
      </w:r>
      <w:r>
        <w:rPr>
          <w:rFonts w:ascii="Arial" w:cs="Arial" w:eastAsia="Arial" w:hAnsi="Arial"/>
          <w:sz w:val="24"/>
          <w:szCs w:val="24"/>
        </w:rPr>
        <w:t xml:space="preserve">	8</w:t>
      </w:r>
    </w:p>
    <w:p>
      <w:pPr>
        <w:tabs>
          <w:tab w:val="right" w:pos="9026"/>
        </w:tabs>
        <w:spacing w:line="360"/>
      </w:pPr>
      <w:r>
        <w:rPr>
          <w:rFonts w:ascii="Arial" w:cs="Arial" w:eastAsia="Arial" w:hAnsi="Arial"/>
          <w:b w:val="false"/>
          <w:bCs w:val="false"/>
          <w:sz w:val="24"/>
          <w:szCs w:val="24"/>
        </w:rPr>
        <w:t xml:space="preserve">2.2 Programação Orientada a Objetos</w:t>
      </w:r>
      <w:r>
        <w:rPr>
          <w:rFonts w:ascii="Arial" w:cs="Arial" w:eastAsia="Arial" w:hAnsi="Arial"/>
          <w:sz w:val="24"/>
          <w:szCs w:val="24"/>
        </w:rPr>
        <w:t xml:space="preserve">	9</w:t>
      </w:r>
    </w:p>
    <w:p>
      <w:pPr>
        <w:tabs>
          <w:tab w:val="right" w:pos="9026"/>
        </w:tabs>
        <w:spacing w:line="360"/>
      </w:pPr>
      <w:r>
        <w:rPr>
          <w:rFonts w:ascii="Arial" w:cs="Arial" w:eastAsia="Arial" w:hAnsi="Arial"/>
          <w:b w:val="false"/>
          <w:bCs w:val="false"/>
          <w:sz w:val="24"/>
          <w:szCs w:val="24"/>
        </w:rPr>
        <w:t xml:space="preserve">2.3 Comunicação, Liderança e Negociação</w:t>
      </w:r>
      <w:r>
        <w:rPr>
          <w:rFonts w:ascii="Arial" w:cs="Arial" w:eastAsia="Arial" w:hAnsi="Arial"/>
          <w:sz w:val="24"/>
          <w:szCs w:val="24"/>
        </w:rPr>
        <w:t xml:space="preserve">	10</w:t>
      </w:r>
    </w:p>
    <w:p>
      <w:pPr>
        <w:tabs>
          <w:tab w:val="right" w:pos="9026"/>
        </w:tabs>
        <w:spacing w:line="360"/>
      </w:pPr>
      <w:r>
        <w:rPr>
          <w:rFonts w:ascii="Arial" w:cs="Arial" w:eastAsia="Arial" w:hAnsi="Arial"/>
          <w:b w:val="false"/>
          <w:bCs w:val="false"/>
          <w:sz w:val="24"/>
          <w:szCs w:val="24"/>
        </w:rPr>
        <w:t xml:space="preserve">2.4 Língua Brasileira de Sinais – Libras</w:t>
      </w:r>
      <w:r>
        <w:rPr>
          <w:rFonts w:ascii="Arial" w:cs="Arial" w:eastAsia="Arial" w:hAnsi="Arial"/>
          <w:sz w:val="24"/>
          <w:szCs w:val="24"/>
        </w:rPr>
        <w:t xml:space="preserve">	11</w:t>
      </w:r>
    </w:p>
    <w:p>
      <w:pPr>
        <w:tabs>
          <w:tab w:val="right" w:pos="9026"/>
        </w:tabs>
        <w:spacing w:line="360"/>
      </w:pPr>
      <w:r>
        <w:rPr>
          <w:rFonts w:ascii="Arial" w:cs="Arial" w:eastAsia="Arial" w:hAnsi="Arial"/>
          <w:b/>
          <w:bCs/>
          <w:sz w:val="24"/>
          <w:szCs w:val="24"/>
        </w:rPr>
        <w:t xml:space="preserve">3 DESENVOLVIMENTO DO PROJETO</w:t>
      </w:r>
      <w:r>
        <w:rPr>
          <w:rFonts w:ascii="Arial" w:cs="Arial" w:eastAsia="Arial" w:hAnsi="Arial"/>
          <w:sz w:val="24"/>
          <w:szCs w:val="24"/>
        </w:rPr>
        <w:t xml:space="preserve">	12</w:t>
      </w:r>
    </w:p>
    <w:p>
      <w:pPr>
        <w:tabs>
          <w:tab w:val="right" w:pos="9026"/>
        </w:tabs>
        <w:spacing w:line="360"/>
      </w:pPr>
      <w:r>
        <w:rPr>
          <w:rFonts w:ascii="Arial" w:cs="Arial" w:eastAsia="Arial" w:hAnsi="Arial"/>
          <w:b w:val="false"/>
          <w:bCs w:val="false"/>
          <w:sz w:val="24"/>
          <w:szCs w:val="24"/>
        </w:rPr>
        <w:t xml:space="preserve">3.1 Arquitetura do Sistema</w:t>
      </w:r>
      <w:r>
        <w:rPr>
          <w:rFonts w:ascii="Arial" w:cs="Arial" w:eastAsia="Arial" w:hAnsi="Arial"/>
          <w:sz w:val="24"/>
          <w:szCs w:val="24"/>
        </w:rPr>
        <w:t xml:space="preserve">	12</w:t>
      </w:r>
    </w:p>
    <w:p>
      <w:pPr>
        <w:tabs>
          <w:tab w:val="right" w:pos="9026"/>
        </w:tabs>
        <w:spacing w:line="360"/>
      </w:pPr>
      <w:r>
        <w:rPr>
          <w:rFonts w:ascii="Arial" w:cs="Arial" w:eastAsia="Arial" w:hAnsi="Arial"/>
          <w:b w:val="false"/>
          <w:bCs w:val="false"/>
          <w:sz w:val="24"/>
          <w:szCs w:val="24"/>
        </w:rPr>
        <w:t xml:space="preserve">3.2 Backend – API REST com ASP.NET Core</w:t>
      </w:r>
      <w:r>
        <w:rPr>
          <w:rFonts w:ascii="Arial" w:cs="Arial" w:eastAsia="Arial" w:hAnsi="Arial"/>
          <w:sz w:val="24"/>
          <w:szCs w:val="24"/>
        </w:rPr>
        <w:t xml:space="preserve">	13</w:t>
      </w:r>
    </w:p>
    <w:p>
      <w:pPr>
        <w:tabs>
          <w:tab w:val="right" w:pos="9026"/>
        </w:tabs>
        <w:spacing w:line="360"/>
      </w:pPr>
      <w:r>
        <w:rPr>
          <w:rFonts w:ascii="Arial" w:cs="Arial" w:eastAsia="Arial" w:hAnsi="Arial"/>
          <w:b w:val="false"/>
          <w:bCs w:val="false"/>
          <w:sz w:val="24"/>
          <w:szCs w:val="24"/>
        </w:rPr>
        <w:t xml:space="preserve">3.3 Frontend – Interface Web Responsiva</w:t>
      </w:r>
      <w:r>
        <w:rPr>
          <w:rFonts w:ascii="Arial" w:cs="Arial" w:eastAsia="Arial" w:hAnsi="Arial"/>
          <w:sz w:val="24"/>
          <w:szCs w:val="24"/>
        </w:rPr>
        <w:t xml:space="preserve">	15</w:t>
      </w:r>
    </w:p>
    <w:p>
      <w:pPr>
        <w:tabs>
          <w:tab w:val="right" w:pos="9026"/>
        </w:tabs>
        <w:spacing w:line="360"/>
      </w:pPr>
      <w:r>
        <w:rPr>
          <w:rFonts w:ascii="Arial" w:cs="Arial" w:eastAsia="Arial" w:hAnsi="Arial"/>
          <w:b w:val="false"/>
          <w:bCs w:val="false"/>
          <w:sz w:val="24"/>
          <w:szCs w:val="24"/>
        </w:rPr>
        <w:t xml:space="preserve">3.4 Plano de Comunicação e Negociação do Evento</w:t>
      </w:r>
      <w:r>
        <w:rPr>
          <w:rFonts w:ascii="Arial" w:cs="Arial" w:eastAsia="Arial" w:hAnsi="Arial"/>
          <w:sz w:val="24"/>
          <w:szCs w:val="24"/>
        </w:rPr>
        <w:t xml:space="preserve">	17</w:t>
      </w:r>
    </w:p>
    <w:p>
      <w:pPr>
        <w:tabs>
          <w:tab w:val="right" w:pos="9026"/>
        </w:tabs>
        <w:spacing w:line="360"/>
      </w:pPr>
      <w:r>
        <w:rPr>
          <w:rFonts w:ascii="Arial" w:cs="Arial" w:eastAsia="Arial" w:hAnsi="Arial"/>
          <w:b w:val="false"/>
          <w:bCs w:val="false"/>
          <w:sz w:val="24"/>
          <w:szCs w:val="24"/>
        </w:rPr>
        <w:t xml:space="preserve">3.5 Recursos de Acessibilidade em Libras</w:t>
      </w:r>
      <w:r>
        <w:rPr>
          <w:rFonts w:ascii="Arial" w:cs="Arial" w:eastAsia="Arial" w:hAnsi="Arial"/>
          <w:sz w:val="24"/>
          <w:szCs w:val="24"/>
        </w:rPr>
        <w:t xml:space="preserve">	18</w:t>
      </w:r>
    </w:p>
    <w:p>
      <w:pPr>
        <w:tabs>
          <w:tab w:val="right" w:pos="9026"/>
        </w:tabs>
        <w:spacing w:line="360"/>
      </w:pPr>
      <w:r>
        <w:rPr>
          <w:rFonts w:ascii="Arial" w:cs="Arial" w:eastAsia="Arial" w:hAnsi="Arial"/>
          <w:b/>
          <w:bCs/>
          <w:sz w:val="24"/>
          <w:szCs w:val="24"/>
        </w:rPr>
        <w:t xml:space="preserve">4 CONCLUSÃO</w:t>
      </w:r>
      <w:r>
        <w:rPr>
          <w:rFonts w:ascii="Arial" w:cs="Arial" w:eastAsia="Arial" w:hAnsi="Arial"/>
          <w:sz w:val="24"/>
          <w:szCs w:val="24"/>
        </w:rPr>
        <w:t xml:space="preserve">	20</w:t>
      </w:r>
    </w:p>
    <w:p>
      <w:pPr>
        <w:tabs>
          <w:tab w:val="right" w:pos="9026"/>
        </w:tabs>
        <w:spacing w:line="360"/>
      </w:pPr>
      <w:r>
        <w:rPr>
          <w:rFonts w:ascii="Arial" w:cs="Arial" w:eastAsia="Arial" w:hAnsi="Arial"/>
          <w:b/>
          <w:bCs/>
          <w:sz w:val="24"/>
          <w:szCs w:val="24"/>
        </w:rPr>
        <w:t xml:space="preserve">REFERÊNCIAS</w:t>
      </w:r>
      <w:r>
        <w:rPr>
          <w:rFonts w:ascii="Arial" w:cs="Arial" w:eastAsia="Arial" w:hAnsi="Arial"/>
          <w:sz w:val="24"/>
          <w:szCs w:val="24"/>
        </w:rPr>
        <w:t xml:space="preserve">	21</w:t>
      </w:r>
    </w:p>
    <w:p>
      <w:pPr>
        <w:sectPr>
          <w:pgSz w:w="11906" w:h="16838" w:orient="portrait"/>
          <w:pgMar w:top="1701" w:right="1134" w:bottom="1134" w:left="1701" w:header="708" w:footer="708" w:gutter="0"/>
          <w:pgNumType/>
          <w:docGrid w:linePitch="360"/>
        </w:sectPr>
      </w:pPr>
    </w:p>
    <w:p>
      <w:r>
        <w:br w:type="page"/>
      </w:r>
    </w:p>
    <w:p>
      <w:pPr>
        <w:spacing w:after="240" w:before="240" w:line="360"/>
      </w:pPr>
      <w:r>
        <w:rPr>
          <w:rFonts w:ascii="Arial" w:cs="Arial" w:eastAsia="Arial" w:hAnsi="Arial"/>
          <w:b/>
          <w:bCs/>
          <w:sz w:val="24"/>
          <w:szCs w:val="24"/>
        </w:rPr>
        <w:t xml:space="preserve">1 INTRODUÇÃO</w:t>
      </w:r>
    </w:p>
    <w:p>
      <w:pPr>
        <w:spacing w:after="0" w:before="0" w:line="360"/>
        <w:ind w:firstLine="851"/>
        <w:jc w:val="both"/>
      </w:pPr>
      <w:r>
        <w:rPr>
          <w:rFonts w:ascii="Arial" w:cs="Arial" w:eastAsia="Arial" w:hAnsi="Arial"/>
          <w:b w:val="false"/>
          <w:bCs w:val="false"/>
          <w:i w:val="false"/>
          <w:iCs w:val="false"/>
          <w:sz w:val="24"/>
          <w:szCs w:val="24"/>
        </w:rPr>
        <w:t xml:space="preserve">O avanço das tecnologias digitais tem transformado profundamente os modelos de organização e realização de eventos acadêmicos. Semanas de curso, congressos estudantis, competições de programação e mostras de projetos constituem espaços privilegiados para a circulação de conhecimento, a criação de redes profissionais e o fortalecimento da identidade dos cursos de Tecnologia da Informação (SOMMERVILLE, 2019). A expansão de formatos híbridos e remotos intensifica a dependência de plataformas digitais para inscrição, acompanhamento de programação, interação com palestrantes e acesso a certificados.</w:t>
      </w:r>
    </w:p>
    <w:p>
      <w:pPr>
        <w:spacing w:after="0" w:before="0" w:line="360"/>
        <w:ind w:firstLine="851"/>
        <w:jc w:val="both"/>
      </w:pPr>
      <w:r>
        <w:rPr>
          <w:rFonts w:ascii="Arial" w:cs="Arial" w:eastAsia="Arial" w:hAnsi="Arial"/>
          <w:b w:val="false"/>
          <w:bCs w:val="false"/>
          <w:i w:val="false"/>
          <w:iCs w:val="false"/>
          <w:sz w:val="24"/>
          <w:szCs w:val="24"/>
        </w:rPr>
        <w:t xml:space="preserve">Entretanto, essa mesma digitalização expõe desigualdades de acesso linguístico e comunicacional entre diferentes grupos de participantes. No contexto brasileiro, políticas de inclusão educacional e marcos legais de acessibilidade, como a Lei Brasileira de Inclusão (Lei nº 13.146/2015) e o Decreto nº 5.626/2005, colocam em evidência a necessidade de considerar a presença de pessoas surdas e a centralidade da Língua Brasileira de Sinais (Libras) em ambientes acadêmicos (BRASIL, 2005; BRASIL, 2015).</w:t>
      </w:r>
    </w:p>
    <w:p>
      <w:pPr>
        <w:spacing w:after="0" w:before="0" w:line="360"/>
        <w:ind w:firstLine="851"/>
        <w:jc w:val="both"/>
      </w:pPr>
      <w:r>
        <w:rPr>
          <w:rFonts w:ascii="Arial" w:cs="Arial" w:eastAsia="Arial" w:hAnsi="Arial"/>
          <w:b w:val="false"/>
          <w:bCs w:val="false"/>
          <w:i w:val="false"/>
          <w:iCs w:val="false"/>
          <w:sz w:val="24"/>
          <w:szCs w:val="24"/>
        </w:rPr>
        <w:t xml:space="preserve">Diante desse cenário, o presente trabalho propõe o desenvolvimento de um ambiente virtual responsivo para o planejamento, divulgação, realização e acompanhamento de eventos acadêmicos inclusivos na área de TI, denominado “Semana de TI Inclusiva UNIP 2026”. O projeto integra quatro disciplinas do segundo semestre do curso de Análise e Desenvolvimento de Sistemas da Universidade Paulista (UNIP EaD): Desenvolvimento Web Responsivo, Programação Orientada a Objetos com C#, Comunicação, Liderança e Negociação, e Língua Brasileira de Sinais (Libras).</w:t>
      </w:r>
    </w:p>
    <w:p>
      <w:pPr>
        <w:spacing w:after="0" w:before="0" w:line="360"/>
        <w:ind w:firstLine="851"/>
        <w:jc w:val="both"/>
      </w:pPr>
      <w:r>
        <w:rPr>
          <w:rFonts w:ascii="Arial" w:cs="Arial" w:eastAsia="Arial" w:hAnsi="Arial"/>
          <w:b w:val="false"/>
          <w:bCs w:val="false"/>
          <w:i w:val="false"/>
          <w:iCs w:val="false"/>
          <w:sz w:val="24"/>
          <w:szCs w:val="24"/>
        </w:rPr>
        <w:t xml:space="preserve">O objetivo geral do trabalho é desenhar e implementar um ambiente virtual responsivo que integre uma arquitetura web acessível, um back-end orientado a objetos em C#, práticas de comunicação e liderança adequadas à gestão de eventos, e um conjunto de recursos em Libras que favoreçam a participação plena de pessoas surdas. Nessa perspectiva, a aplicação gerencia inscrições, certificados, notificações e atividades, ao mesmo tempo em que oferece espaço para glossário de termos em Libras, demanda de intérpretes e documentação comunicacional.</w:t>
      </w:r>
    </w:p>
    <w:p>
      <w:pPr>
        <w:spacing w:after="0" w:before="0" w:line="360"/>
        <w:ind w:firstLine="851"/>
        <w:jc w:val="both"/>
      </w:pPr>
      <w:r>
        <w:rPr>
          <w:rFonts w:ascii="Arial" w:cs="Arial" w:eastAsia="Arial" w:hAnsi="Arial"/>
          <w:b w:val="false"/>
          <w:bCs w:val="false"/>
          <w:i w:val="false"/>
          <w:iCs w:val="false"/>
          <w:sz w:val="24"/>
          <w:szCs w:val="24"/>
        </w:rPr>
        <w:t xml:space="preserve">A metodologia adotada foi a pesquisa aplicada com abordagem qualitativa, combinando revisão bibliográfica das disciplinas envolvidas com o desenvolvimento prático do sistema. A fundamentação teórica apoia-se em autores consagrados das áreas de engenharia de software, design responsivo, acessibilidade web, comunicação organizacional e estudos linguísticos em Libras.</w:t>
      </w:r>
    </w:p>
    <w:p>
      <w:pPr>
        <w:spacing w:after="0" w:before="0" w:line="360"/>
        <w:ind w:firstLine="851"/>
        <w:jc w:val="both"/>
      </w:pPr>
      <w:r>
        <w:rPr>
          <w:rFonts w:ascii="Arial" w:cs="Arial" w:eastAsia="Arial" w:hAnsi="Arial"/>
          <w:b w:val="false"/>
          <w:bCs w:val="false"/>
          <w:i w:val="false"/>
          <w:iCs w:val="false"/>
          <w:sz w:val="24"/>
          <w:szCs w:val="24"/>
        </w:rPr>
        <w:t xml:space="preserve">Este documento está organizado da seguinte forma: o capítulo 2 apresenta a fundamentação teórica que sustenta as decisões de projeto em cada disciplina; o capítulo 3 descreve o desenvolvimento prático do sistema, incluindo arquitetura, backend, frontend, plano de comunicação e recursos de Libras; e o capítulo 4 expõe as conclusões e considerações finais do trabalho.</w:t>
      </w:r>
    </w:p>
    <w:p>
      <w:r>
        <w:br w:type="page"/>
      </w:r>
    </w:p>
    <w:p>
      <w:pPr>
        <w:spacing w:after="240" w:before="240" w:line="360"/>
      </w:pPr>
      <w:r>
        <w:rPr>
          <w:rFonts w:ascii="Arial" w:cs="Arial" w:eastAsia="Arial" w:hAnsi="Arial"/>
          <w:b/>
          <w:bCs/>
          <w:sz w:val="24"/>
          <w:szCs w:val="24"/>
        </w:rPr>
        <w:t xml:space="preserve">2 FUNDAMENTAÇÃO TEÓRICA</w:t>
      </w:r>
    </w:p>
    <w:p>
      <w:pPr>
        <w:spacing w:after="0" w:before="0" w:line="360"/>
        <w:ind w:firstLine="851"/>
        <w:jc w:val="both"/>
      </w:pPr>
      <w:r>
        <w:rPr>
          <w:rFonts w:ascii="Arial" w:cs="Arial" w:eastAsia="Arial" w:hAnsi="Arial"/>
          <w:b w:val="false"/>
          <w:bCs w:val="false"/>
          <w:i w:val="false"/>
          <w:iCs w:val="false"/>
          <w:sz w:val="24"/>
          <w:szCs w:val="24"/>
        </w:rPr>
        <w:t xml:space="preserve">Este capítulo apresenta os fundamentos teóricos que sustentam as decisões técnicas e conceituais do projeto. As quatro disciplinas integradas no PIM V são tratadas em seções específicas, estabelecendo a base conceitual que orienta o desenvolvimento descrito no capítulo seguinte.</w:t>
      </w:r>
    </w:p>
    <w:p>
      <w:pPr>
        <w:spacing w:after="120" w:before="240" w:line="360"/>
      </w:pPr>
      <w:r>
        <w:rPr>
          <w:rFonts w:ascii="Arial" w:cs="Arial" w:eastAsia="Arial" w:hAnsi="Arial"/>
          <w:b/>
          <w:bCs/>
          <w:sz w:val="24"/>
          <w:szCs w:val="24"/>
        </w:rPr>
        <w:t xml:space="preserve">2.1 Desenvolvimento Web Responsivo</w:t>
      </w:r>
    </w:p>
    <w:p>
      <w:pPr>
        <w:spacing w:after="0" w:before="0" w:line="360"/>
        <w:ind w:firstLine="851"/>
        <w:jc w:val="both"/>
      </w:pPr>
      <w:r>
        <w:rPr>
          <w:rFonts w:ascii="Arial" w:cs="Arial" w:eastAsia="Arial" w:hAnsi="Arial"/>
          <w:b w:val="false"/>
          <w:bCs w:val="false"/>
          <w:i w:val="false"/>
          <w:iCs w:val="false"/>
          <w:sz w:val="24"/>
          <w:szCs w:val="24"/>
        </w:rPr>
        <w:t xml:space="preserve">O desenvolvimento web responsivo é uma abordagem de design e programação que visa criar interfaces capazes de se adaptar a diferentes tamanhos de tela e dispositivos. Segundo Marcotte (2011), o termo “Responsive Web Design” foi cunhado para designar a combinação de grids fluidos, imagens flexíveis e media queries CSS como estratégia para construir experiências web que respondam ao contexto de visualização do usuário.</w:t>
      </w:r>
    </w:p>
    <w:p>
      <w:pPr>
        <w:spacing w:after="0" w:before="0" w:line="360"/>
        <w:ind w:firstLine="851"/>
        <w:jc w:val="both"/>
      </w:pPr>
      <w:r>
        <w:rPr>
          <w:rFonts w:ascii="Arial" w:cs="Arial" w:eastAsia="Arial" w:hAnsi="Arial"/>
          <w:b w:val="false"/>
          <w:bCs w:val="false"/>
          <w:i w:val="false"/>
          <w:iCs w:val="false"/>
          <w:sz w:val="24"/>
          <w:szCs w:val="24"/>
        </w:rPr>
        <w:t xml:space="preserve">A abordagem mobile-first, proposta por Wroblewski (2011), defende que o design deve partir do dispositivo de menor tela, forçando o designer a priorizar o conteúdo essencial e adicionar complexidade progressivamente para telas maiores. Essa estratégia alinha-se ao princípio de progressive enhancement e contribui para melhor desempenho e usabilidade.</w:t>
      </w:r>
    </w:p>
    <w:p>
      <w:pPr>
        <w:spacing w:after="0" w:before="0" w:line="360"/>
        <w:ind w:firstLine="851"/>
        <w:jc w:val="both"/>
      </w:pPr>
      <w:r>
        <w:rPr>
          <w:rFonts w:ascii="Arial" w:cs="Arial" w:eastAsia="Arial" w:hAnsi="Arial"/>
          <w:b w:val="false"/>
          <w:bCs w:val="false"/>
          <w:i w:val="false"/>
          <w:iCs w:val="false"/>
          <w:sz w:val="24"/>
          <w:szCs w:val="24"/>
        </w:rPr>
        <w:t xml:space="preserve">As tecnologias fundamentais do desenvolvimento web responsivo incluem HTML5, que oferece elementos semânticos como header, nav, main, section e footer, contribuindo para a acessibilidade e organização do conteúdo (DUCKETT, 2011); CSS3, com recursos como Flexbox e Grid Layout que permitem a criação de layouts fluidos e complexos; e JavaScript, que possibilita interatividade e manipulação dinâmica do DOM.</w:t>
      </w:r>
    </w:p>
    <w:p>
      <w:pPr>
        <w:spacing w:after="0" w:before="0" w:line="360"/>
        <w:ind w:firstLine="851"/>
        <w:jc w:val="both"/>
      </w:pPr>
      <w:r>
        <w:rPr>
          <w:rFonts w:ascii="Arial" w:cs="Arial" w:eastAsia="Arial" w:hAnsi="Arial"/>
          <w:b w:val="false"/>
          <w:bCs w:val="false"/>
          <w:i w:val="false"/>
          <w:iCs w:val="false"/>
          <w:sz w:val="24"/>
          <w:szCs w:val="24"/>
        </w:rPr>
        <w:t xml:space="preserve">O uso de media queries permite definir breakpoints, ou seja, pontos de largura de tela nos quais o layout se reorganiza para manter a legibilidade e usabilidade. Conforme recomendado pelo W3C (2023), a acessibilidade web deve ser considerada desde o início do projeto, seguindo as diretrizes WCAG (Web Content Accessibility Guidelines), que estabelecem critérios como contraste mínimo de texto, targets de toque adequados e navegação por teclado.</w:t>
      </w:r>
    </w:p>
    <w:p>
      <w:r>
        <w:br w:type="page"/>
      </w:r>
    </w:p>
    <w:p>
      <w:pPr>
        <w:spacing w:after="120" w:before="240" w:line="360"/>
      </w:pPr>
      <w:r>
        <w:rPr>
          <w:rFonts w:ascii="Arial" w:cs="Arial" w:eastAsia="Arial" w:hAnsi="Arial"/>
          <w:b/>
          <w:bCs/>
          <w:sz w:val="24"/>
          <w:szCs w:val="24"/>
        </w:rPr>
        <w:t xml:space="preserve">2.2 Programação Orientada a Objetos</w:t>
      </w:r>
    </w:p>
    <w:p>
      <w:pPr>
        <w:spacing w:after="0" w:before="0" w:line="360"/>
        <w:ind w:firstLine="851"/>
        <w:jc w:val="both"/>
      </w:pPr>
      <w:r>
        <w:rPr>
          <w:rFonts w:ascii="Arial" w:cs="Arial" w:eastAsia="Arial" w:hAnsi="Arial"/>
          <w:b w:val="false"/>
          <w:bCs w:val="false"/>
          <w:i w:val="false"/>
          <w:iCs w:val="false"/>
          <w:sz w:val="24"/>
          <w:szCs w:val="24"/>
        </w:rPr>
        <w:t xml:space="preserve">A Programação Orientada a Objetos (POO) é um paradigma de programação que organiza o software em torno de objetos, entidades que encapsulam dados (atributos) e comportamentos (métodos). Segundo Deitel e Deitel (2017), os quatro pilares fundamentais da POO são: encapsulamento, herança, polimorfismo e abstração.</w:t>
      </w:r>
    </w:p>
    <w:p>
      <w:pPr>
        <w:spacing w:after="0" w:before="0" w:line="360"/>
        <w:ind w:firstLine="851"/>
        <w:jc w:val="both"/>
      </w:pPr>
      <w:r>
        <w:rPr>
          <w:rFonts w:ascii="Arial" w:cs="Arial" w:eastAsia="Arial" w:hAnsi="Arial"/>
          <w:b w:val="false"/>
          <w:bCs w:val="false"/>
          <w:i w:val="false"/>
          <w:iCs w:val="false"/>
          <w:sz w:val="24"/>
          <w:szCs w:val="24"/>
        </w:rPr>
        <w:t xml:space="preserve">O encapsulamento consiste em ocultar os detalhes internos de implementação de um objeto, expondo apenas uma interface pública controlada. Esse princípio protege a integridade dos dados e reduz o acoplamento entre componentes do sistema (GAMMA et al., 1994). A herança permite criar novas classes a partir de classes existentes, promovendo a reutilização de código e a modelagem de hierarquias do tipo “é-um” (is-a). O polimorfismo possibilita que objetos de diferentes classes respondam à mesma mensagem de maneiras distintas, facilitando a extensibilidade do sistema.</w:t>
      </w:r>
    </w:p>
    <w:p>
      <w:pPr>
        <w:spacing w:after="0" w:before="0" w:line="360"/>
        <w:ind w:firstLine="851"/>
        <w:jc w:val="both"/>
      </w:pPr>
      <w:r>
        <w:rPr>
          <w:rFonts w:ascii="Arial" w:cs="Arial" w:eastAsia="Arial" w:hAnsi="Arial"/>
          <w:b w:val="false"/>
          <w:bCs w:val="false"/>
          <w:i w:val="false"/>
          <w:iCs w:val="false"/>
          <w:sz w:val="24"/>
          <w:szCs w:val="24"/>
        </w:rPr>
        <w:t xml:space="preserve">A linguagem C#, desenvolvida pela Microsoft como parte da plataforma .NET, é uma linguagem multiparadigma com forte suporte a POO. Conforme Troelsen e Japikse (2022), C# oferece recursos como classes abstratas, interfaces, generics, LINQ (Language Integrated Query) e tratamento de exceções que facilitam a construção de sistemas robustos e bem estruturados.</w:t>
      </w:r>
    </w:p>
    <w:p>
      <w:pPr>
        <w:spacing w:after="0" w:before="0" w:line="360"/>
        <w:ind w:firstLine="851"/>
        <w:jc w:val="both"/>
      </w:pPr>
      <w:r>
        <w:rPr>
          <w:rFonts w:ascii="Arial" w:cs="Arial" w:eastAsia="Arial" w:hAnsi="Arial"/>
          <w:b w:val="false"/>
          <w:bCs w:val="false"/>
          <w:i w:val="false"/>
          <w:iCs w:val="false"/>
          <w:sz w:val="24"/>
          <w:szCs w:val="24"/>
        </w:rPr>
        <w:t xml:space="preserve">O ASP.NET Core é um framework de código aberto para construção de aplicações web e APIs. Segundo Microsoft (2024), o framework adota o padrão de injeção de dependência nativamente, suporta o desenvolvimento de APIs RESTful com controllers e services, e oferece ferramentas como Swagger para documentação automática dos endpoints.</w:t>
      </w:r>
    </w:p>
    <w:p>
      <w:pPr>
        <w:spacing w:after="120" w:before="240" w:line="360"/>
      </w:pPr>
      <w:r>
        <w:rPr>
          <w:rFonts w:ascii="Arial" w:cs="Arial" w:eastAsia="Arial" w:hAnsi="Arial"/>
          <w:b/>
          <w:bCs/>
          <w:sz w:val="24"/>
          <w:szCs w:val="24"/>
        </w:rPr>
        <w:t xml:space="preserve">2.3 Comunicação, Liderança e Negociação</w:t>
      </w:r>
    </w:p>
    <w:p>
      <w:pPr>
        <w:spacing w:after="0" w:before="0" w:line="360"/>
        <w:ind w:firstLine="851"/>
        <w:jc w:val="both"/>
      </w:pPr>
      <w:r>
        <w:rPr>
          <w:rFonts w:ascii="Arial" w:cs="Arial" w:eastAsia="Arial" w:hAnsi="Arial"/>
          <w:b w:val="false"/>
          <w:bCs w:val="false"/>
          <w:i w:val="false"/>
          <w:iCs w:val="false"/>
          <w:sz w:val="24"/>
          <w:szCs w:val="24"/>
        </w:rPr>
        <w:t xml:space="preserve">A comunicação organizacional desempenha papel central na gestão de eventos acadêmicos. Segundo Kunsch (2003), a comunicação integrada articula as dimensões institucional, mercadológica, interna e administrativa, garantindo coerência entre os diversos públicos e canais. No contexto de eventos acadêmicos, essa integração se materializa na definição de mensagens consistentes para participantes, palestrantes, patrocinadores e equipe organizadora.</w:t>
      </w:r>
    </w:p>
    <w:p>
      <w:pPr>
        <w:spacing w:after="0" w:before="0" w:line="360"/>
        <w:ind w:firstLine="851"/>
        <w:jc w:val="both"/>
      </w:pPr>
      <w:r>
        <w:rPr>
          <w:rFonts w:ascii="Arial" w:cs="Arial" w:eastAsia="Arial" w:hAnsi="Arial"/>
          <w:b w:val="false"/>
          <w:bCs w:val="false"/>
          <w:i w:val="false"/>
          <w:iCs w:val="false"/>
          <w:sz w:val="24"/>
          <w:szCs w:val="24"/>
        </w:rPr>
        <w:t xml:space="preserve">A negociação, conforme definida por Fisher, Ury e Patton (2011) na obra “Como Chegar ao Sim”, é um processo de comunicação bidirecional com o objetivo de chegar a um acordo quando as partes têm interesses compartilhados e divergentes. Os autores propõem a negociação baseada em princípios, que separa as pessoas do problema, foca em interesses em vez de posições, gera opções de ganho mútuo e utiliza critérios objetivos.</w:t>
      </w:r>
    </w:p>
    <w:p>
      <w:pPr>
        <w:spacing w:after="0" w:before="0" w:line="360"/>
        <w:ind w:firstLine="851"/>
        <w:jc w:val="both"/>
      </w:pPr>
      <w:r>
        <w:rPr>
          <w:rFonts w:ascii="Arial" w:cs="Arial" w:eastAsia="Arial" w:hAnsi="Arial"/>
          <w:b w:val="false"/>
          <w:bCs w:val="false"/>
          <w:i w:val="false"/>
          <w:iCs w:val="false"/>
          <w:sz w:val="24"/>
          <w:szCs w:val="24"/>
        </w:rPr>
        <w:t xml:space="preserve">A liderança, segundo Chiavenato (2014), pode ser compreendida como a capacidade de influenciar pessoas para trabalharem entusiasticamente em direção a objetivos comuns. No contexto da gestão de eventos acadêmicos, a liderança ética se manifesta na tomada de decisões transparentes, na escuta ativa dos stakeholders e na mediação de conflitos que naturalmente surgem na organização de atividades com múltiplos atores.</w:t>
      </w:r>
    </w:p>
    <w:p>
      <w:pPr>
        <w:spacing w:after="0" w:before="0" w:line="360"/>
        <w:ind w:firstLine="851"/>
        <w:jc w:val="both"/>
      </w:pPr>
      <w:r>
        <w:rPr>
          <w:rFonts w:ascii="Arial" w:cs="Arial" w:eastAsia="Arial" w:hAnsi="Arial"/>
          <w:b w:val="false"/>
          <w:bCs w:val="false"/>
          <w:i w:val="false"/>
          <w:iCs w:val="false"/>
          <w:sz w:val="24"/>
          <w:szCs w:val="24"/>
        </w:rPr>
        <w:t xml:space="preserve">O plano de comunicação de um evento, conforme Giacaglia (2011), deve contemplar a identificação dos públicos-alvo, a definição de objetivos comunicacionais, a seleção de canais e mídias, a elaboração de mensagens-chave e a avaliação dos resultados. A gestão relacional do evento também envolve a preparação para cenários de conflito, como disputas por horários de apresentação ou desacordos sobre formatos de certificação.</w:t>
      </w:r>
    </w:p>
    <w:p>
      <w:r>
        <w:br w:type="page"/>
      </w:r>
    </w:p>
    <w:p>
      <w:pPr>
        <w:spacing w:after="120" w:before="240" w:line="360"/>
      </w:pPr>
      <w:r>
        <w:rPr>
          <w:rFonts w:ascii="Arial" w:cs="Arial" w:eastAsia="Arial" w:hAnsi="Arial"/>
          <w:b/>
          <w:bCs/>
          <w:sz w:val="24"/>
          <w:szCs w:val="24"/>
        </w:rPr>
        <w:t xml:space="preserve">2.4 Língua Brasileira de Sinais – Libras</w:t>
      </w:r>
    </w:p>
    <w:p>
      <w:pPr>
        <w:spacing w:after="0" w:before="0" w:line="360"/>
        <w:ind w:firstLine="851"/>
        <w:jc w:val="both"/>
      </w:pPr>
      <w:r>
        <w:rPr>
          <w:rFonts w:ascii="Arial" w:cs="Arial" w:eastAsia="Arial" w:hAnsi="Arial"/>
          <w:b w:val="false"/>
          <w:bCs w:val="false"/>
          <w:i w:val="false"/>
          <w:iCs w:val="false"/>
          <w:sz w:val="24"/>
          <w:szCs w:val="24"/>
        </w:rPr>
        <w:t xml:space="preserve">A Língua Brasileira de Sinais (Libras) é a língua natural das comunidades surdas do Brasil, reconhecida legalmente pela Lei nº 10.436/2002 e regulamentada pelo Decreto nº 5.626/2005. Segundo Quadros e Karnopp (2004), a Libras é uma língua de modalidade visuoespacial que possui estrutura gramatical própria, com fonologia, morfologia, sintaxe e semântica independentes do português.</w:t>
      </w:r>
    </w:p>
    <w:p>
      <w:pPr>
        <w:spacing w:after="0" w:before="0" w:line="360"/>
        <w:ind w:firstLine="851"/>
        <w:jc w:val="both"/>
      </w:pPr>
      <w:r>
        <w:rPr>
          <w:rFonts w:ascii="Arial" w:cs="Arial" w:eastAsia="Arial" w:hAnsi="Arial"/>
          <w:b w:val="false"/>
          <w:bCs w:val="false"/>
          <w:i w:val="false"/>
          <w:iCs w:val="false"/>
          <w:sz w:val="24"/>
          <w:szCs w:val="24"/>
        </w:rPr>
        <w:t xml:space="preserve">A inclusão de pessoas surdas em eventos acadêmicos vai além da simples presença de intérpretes. Conforme Strobel (2008), a cultura surda possui valores, hábitos e formas de interação específicas que devem ser consideradas na concepção de espaços e materiais educacionais. No âmbito de eventos de TI, isso implica a preparação de materiais bilíngues (Libras-Português), a disponibilização de glossários técnicos em Libras e a organização de espaços adequados para a atuação de intérpretes.</w:t>
      </w:r>
    </w:p>
    <w:p>
      <w:pPr>
        <w:spacing w:after="0" w:before="0" w:line="360"/>
        <w:ind w:firstLine="851"/>
        <w:jc w:val="both"/>
      </w:pPr>
      <w:r>
        <w:rPr>
          <w:rFonts w:ascii="Arial" w:cs="Arial" w:eastAsia="Arial" w:hAnsi="Arial"/>
          <w:b w:val="false"/>
          <w:bCs w:val="false"/>
          <w:i w:val="false"/>
          <w:iCs w:val="false"/>
          <w:sz w:val="24"/>
          <w:szCs w:val="24"/>
        </w:rPr>
        <w:t xml:space="preserve">O glossário de termos técnicos em Libras constitui um recurso fundamental para a acessibilidade comunicacional em eventos de TI. Segundo Stumpf (2005), muitos termos técnicos não possuem sinais consolidados em Libras, exigindo um trabalho de pesquisa e proposição de sinais que respeite a estrutura linguística da Libras e seja compreensível pela comunidade surda. A elaboração de roteiros para vídeos em Libras também segue princípios específicos, como o enquadramento adequado do sinalizante, a iluminação do fundo e a clareza dos sinais.</w:t>
      </w:r>
    </w:p>
    <w:p>
      <w:pPr>
        <w:spacing w:after="0" w:before="0" w:line="360"/>
        <w:ind w:firstLine="851"/>
        <w:jc w:val="both"/>
      </w:pPr>
      <w:r>
        <w:rPr>
          <w:rFonts w:ascii="Arial" w:cs="Arial" w:eastAsia="Arial" w:hAnsi="Arial"/>
          <w:b w:val="false"/>
          <w:bCs w:val="false"/>
          <w:i w:val="false"/>
          <w:iCs w:val="false"/>
          <w:sz w:val="24"/>
          <w:szCs w:val="24"/>
        </w:rPr>
        <w:t xml:space="preserve">A acessibilidade digital para pessoas surdas, conforme as diretrizes do W3C (2023), envolve não apenas a presença de conteúdo em língua de sinais, mas também o uso de linguagem clara, legendas, alertas visuais e navegação intuitiva. A convergência entre acessibilidade web e recursos em Libras permite que o ambiente virtual atue como instrumento de inclusão linguística e social.</w:t>
      </w:r>
    </w:p>
    <w:p>
      <w:r>
        <w:br w:type="page"/>
      </w:r>
    </w:p>
    <w:p>
      <w:pPr>
        <w:spacing w:after="240" w:before="240" w:line="360"/>
      </w:pPr>
      <w:r>
        <w:rPr>
          <w:rFonts w:ascii="Arial" w:cs="Arial" w:eastAsia="Arial" w:hAnsi="Arial"/>
          <w:b/>
          <w:bCs/>
          <w:sz w:val="24"/>
          <w:szCs w:val="24"/>
        </w:rPr>
        <w:t xml:space="preserve">3 DESENVOLVIMENTO DO PROJETO</w:t>
      </w:r>
    </w:p>
    <w:p>
      <w:pPr>
        <w:spacing w:after="0" w:before="0" w:line="360"/>
        <w:ind w:firstLine="851"/>
        <w:jc w:val="both"/>
      </w:pPr>
      <w:r>
        <w:rPr>
          <w:rFonts w:ascii="Arial" w:cs="Arial" w:eastAsia="Arial" w:hAnsi="Arial"/>
          <w:b w:val="false"/>
          <w:bCs w:val="false"/>
          <w:i w:val="false"/>
          <w:iCs w:val="false"/>
          <w:sz w:val="24"/>
          <w:szCs w:val="24"/>
        </w:rPr>
        <w:t xml:space="preserve">Este capítulo descreve o desenvolvimento prático do projeto “Semana de TI Inclusiva UNIP 2026”, detalhando a arquitetura do sistema, a implementação do backend e do frontend, o plano de comunicação e os recursos de acessibilidade em Libras. O projeto foi concebido como um ambiente virtual completo para a gestão de um evento acadêmico fictício, integrando as quatro disciplinas do PIM V.</w:t>
      </w:r>
    </w:p>
    <w:p>
      <w:pPr>
        <w:spacing w:after="120" w:before="240" w:line="360"/>
      </w:pPr>
      <w:r>
        <w:rPr>
          <w:rFonts w:ascii="Arial" w:cs="Arial" w:eastAsia="Arial" w:hAnsi="Arial"/>
          <w:b/>
          <w:bCs/>
          <w:sz w:val="24"/>
          <w:szCs w:val="24"/>
        </w:rPr>
        <w:t xml:space="preserve">3.1 Arquitetura do Sistema</w:t>
      </w:r>
    </w:p>
    <w:p>
      <w:pPr>
        <w:spacing w:after="0" w:before="0" w:line="360"/>
        <w:ind w:firstLine="851"/>
        <w:jc w:val="both"/>
      </w:pPr>
      <w:r>
        <w:rPr>
          <w:rFonts w:ascii="Arial" w:cs="Arial" w:eastAsia="Arial" w:hAnsi="Arial"/>
          <w:b w:val="false"/>
          <w:bCs w:val="false"/>
          <w:i w:val="false"/>
          <w:iCs w:val="false"/>
          <w:sz w:val="24"/>
          <w:szCs w:val="24"/>
        </w:rPr>
        <w:t xml:space="preserve">A arquitetura do sistema segue o modelo cliente-servidor, com separação clara entre o frontend (cliente) e o backend (servidor). O backend é uma API REST desenvolvida em ASP.NET Core 9 com C#, que roda na porta 5000, enquanto o frontend é composto por páginas HTML estáticas servidas por um servidor HTTP simples na porta 8080.</w:t>
      </w:r>
    </w:p>
    <w:p>
      <w:pPr>
        <w:spacing w:after="0" w:before="0" w:line="360"/>
        <w:ind w:firstLine="851"/>
        <w:jc w:val="both"/>
      </w:pPr>
      <w:r>
        <w:rPr>
          <w:rFonts w:ascii="Arial" w:cs="Arial" w:eastAsia="Arial" w:hAnsi="Arial"/>
          <w:b w:val="false"/>
          <w:bCs w:val="false"/>
          <w:i w:val="false"/>
          <w:iCs w:val="false"/>
          <w:sz w:val="24"/>
          <w:szCs w:val="24"/>
        </w:rPr>
        <w:t xml:space="preserve">A persistência de dados é realizada em arquivos CSV, conforme a proposta do projeto de não utilizar banco de dados relacional. Essa decisão simplifica a infraestrutura e permite que o sistema seja executado sem dependências externas, ao mesmo tempo em que demonstra habilidades de manipulação de arquivos e I/O em C#.</w:t>
      </w:r>
    </w:p>
    <w:p>
      <w:pPr>
        <w:spacing w:after="0" w:before="0" w:line="360"/>
        <w:ind w:firstLine="851"/>
        <w:jc w:val="both"/>
      </w:pPr>
      <w:r>
        <w:rPr>
          <w:rFonts w:ascii="Arial" w:cs="Arial" w:eastAsia="Arial" w:hAnsi="Arial"/>
          <w:b w:val="false"/>
          <w:bCs w:val="false"/>
          <w:i w:val="false"/>
          <w:iCs w:val="false"/>
          <w:sz w:val="24"/>
          <w:szCs w:val="24"/>
        </w:rPr>
        <w:t xml:space="preserve">A comunicação entre frontend e backend ocorre via protocolo HTTP utilizando a Fetch API do JavaScript. O CORS (Cross-Origin Resource Sharing) foi configurado na API para permitir requisições do frontend. O Swagger foi integrado para documentação interativa dos endpoints, facilitando o teste e a validação da API durante o desenvolvimento.</w:t>
      </w:r>
    </w:p>
    <w:p>
      <w:pPr>
        <w:spacing w:after="0" w:before="0" w:line="360"/>
        <w:ind w:firstLine="851"/>
        <w:jc w:val="both"/>
      </w:pPr>
      <w:r>
        <w:rPr>
          <w:rFonts w:ascii="Arial" w:cs="Arial" w:eastAsia="Arial" w:hAnsi="Arial"/>
          <w:b w:val="false"/>
          <w:bCs w:val="false"/>
          <w:i w:val="false"/>
          <w:iCs w:val="false"/>
          <w:sz w:val="24"/>
          <w:szCs w:val="24"/>
        </w:rPr>
        <w:t xml:space="preserve">A estrutura de pastas do projeto foi organizada seguindo boas práticas de separação de responsabilidades: o backend contém as pastas Controllers, Models, Services, Interfaces, Enums e Data; o frontend separa páginas HTML, folhas de estilo CSS e scripts JavaScript; e a pasta docs abriga a documentação acadêmica e o brand kit visual.</w:t>
      </w:r>
    </w:p>
    <w:p>
      <w:r>
        <w:br w:type="page"/>
      </w:r>
    </w:p>
    <w:p>
      <w:pPr>
        <w:spacing w:after="120" w:before="240" w:line="360"/>
      </w:pPr>
      <w:r>
        <w:rPr>
          <w:rFonts w:ascii="Arial" w:cs="Arial" w:eastAsia="Arial" w:hAnsi="Arial"/>
          <w:b/>
          <w:bCs/>
          <w:sz w:val="24"/>
          <w:szCs w:val="24"/>
        </w:rPr>
        <w:t xml:space="preserve">3.2 Backend – API REST com ASP.NET Core</w:t>
      </w:r>
    </w:p>
    <w:p>
      <w:pPr>
        <w:spacing w:after="0" w:before="0" w:line="360"/>
        <w:ind w:firstLine="851"/>
        <w:jc w:val="both"/>
      </w:pPr>
      <w:r>
        <w:rPr>
          <w:rFonts w:ascii="Arial" w:cs="Arial" w:eastAsia="Arial" w:hAnsi="Arial"/>
          <w:b w:val="false"/>
          <w:bCs w:val="false"/>
          <w:i w:val="false"/>
          <w:iCs w:val="false"/>
          <w:sz w:val="24"/>
          <w:szCs w:val="24"/>
        </w:rPr>
        <w:t xml:space="preserve">O backend do sistema foi implementado como uma API REST completa utilizando o framework ASP.NET Core 9. A modelagem orientada a objetos seguiu rigorosamente os princípios de POO, conforme detalhado a seguir.</w:t>
      </w:r>
    </w:p>
    <w:p>
      <w:pPr>
        <w:spacing w:after="100" w:before="200" w:line="360"/>
      </w:pPr>
      <w:r>
        <w:rPr>
          <w:rFonts w:ascii="Arial" w:cs="Arial" w:eastAsia="Arial" w:hAnsi="Arial"/>
          <w:b w:val="false"/>
          <w:bCs w:val="false"/>
          <w:i/>
          <w:iCs/>
          <w:sz w:val="24"/>
          <w:szCs w:val="24"/>
        </w:rPr>
        <w:t xml:space="preserve">3.2.1 Modelagem de Classes e Herança</w:t>
      </w:r>
    </w:p>
    <w:p>
      <w:pPr>
        <w:spacing w:after="0" w:before="0" w:line="360"/>
        <w:ind w:firstLine="851"/>
        <w:jc w:val="both"/>
      </w:pPr>
      <w:r>
        <w:rPr>
          <w:rFonts w:ascii="Arial" w:cs="Arial" w:eastAsia="Arial" w:hAnsi="Arial"/>
          <w:b w:val="false"/>
          <w:bCs w:val="false"/>
          <w:i w:val="false"/>
          <w:iCs w:val="false"/>
          <w:sz w:val="24"/>
          <w:szCs w:val="24"/>
        </w:rPr>
        <w:t xml:space="preserve">A hierarquia de classes do sistema tem como raiz a classe abstrata Pessoa, que encapsula os atributos comuns a qualquer indivíduo no sistema: Id, Nome, Email e Cpf. Cada propriedade utiliza campos privados com validação nos setters, demonstrando o encapsulamento. A classe Pessoa define também o método abstrato ObterDescricao(), que força cada subclasse a implementar sua própria versão, exemplificando o polimorfismo.</w:t>
      </w:r>
    </w:p>
    <w:p>
      <w:pPr>
        <w:spacing w:after="0" w:before="0" w:line="360"/>
        <w:ind w:firstLine="851"/>
        <w:jc w:val="both"/>
      </w:pPr>
      <w:r>
        <w:rPr>
          <w:rFonts w:ascii="Arial" w:cs="Arial" w:eastAsia="Arial" w:hAnsi="Arial"/>
          <w:b w:val="false"/>
          <w:bCs w:val="false"/>
          <w:i w:val="false"/>
          <w:iCs w:val="false"/>
          <w:sz w:val="24"/>
          <w:szCs w:val="24"/>
        </w:rPr>
        <w:t xml:space="preserve">A classe Participante herda de Pessoa e adiciona atributos específicos como Instituicao, Telefone, DataCadastro e NecessitaInterpreteLibras. Este último campo integra a disciplina de Libras ao modelo de dados, permitindo que o sistema identifique participantes que necessitam de intérprete. A classe UsuarioAdmin também herda de Pessoa, representando usuários administrativos do sistema.</w:t>
      </w:r>
    </w:p>
    <w:p>
      <w:pPr>
        <w:spacing w:after="0" w:before="0" w:line="360"/>
        <w:ind w:firstLine="851"/>
        <w:jc w:val="both"/>
      </w:pPr>
      <w:r>
        <w:rPr>
          <w:rFonts w:ascii="Arial" w:cs="Arial" w:eastAsia="Arial" w:hAnsi="Arial"/>
          <w:b w:val="false"/>
          <w:bCs w:val="false"/>
          <w:i w:val="false"/>
          <w:iCs w:val="false"/>
          <w:sz w:val="24"/>
          <w:szCs w:val="24"/>
        </w:rPr>
        <w:t xml:space="preserve">As demais entidades do sistema incluem: Evento (com suporte a Libras e e-mail de contato), Atividade (com tipo enumerado, vagas e indicação de intérprete), Inscrição (com status enumerado e solicitação de intérprete), Certificado (com código de validação), Feedback, Notificação e TermoLibras (glossário).</w:t>
      </w:r>
    </w:p>
    <w:p>
      <w:pPr>
        <w:spacing w:after="100" w:before="200" w:line="360"/>
      </w:pPr>
      <w:r>
        <w:rPr>
          <w:rFonts w:ascii="Arial" w:cs="Arial" w:eastAsia="Arial" w:hAnsi="Arial"/>
          <w:b w:val="false"/>
          <w:bCs w:val="false"/>
          <w:i/>
          <w:iCs/>
          <w:sz w:val="24"/>
          <w:szCs w:val="24"/>
        </w:rPr>
        <w:t xml:space="preserve">3.2.2 Interfaces e Generics</w:t>
      </w:r>
    </w:p>
    <w:p>
      <w:pPr>
        <w:spacing w:after="0" w:before="0" w:line="360"/>
        <w:ind w:firstLine="851"/>
        <w:jc w:val="both"/>
      </w:pPr>
      <w:r>
        <w:rPr>
          <w:rFonts w:ascii="Arial" w:cs="Arial" w:eastAsia="Arial" w:hAnsi="Arial"/>
          <w:b w:val="false"/>
          <w:bCs w:val="false"/>
          <w:i w:val="false"/>
          <w:iCs w:val="false"/>
          <w:sz w:val="24"/>
          <w:szCs w:val="24"/>
        </w:rPr>
        <w:t xml:space="preserve">Duas interfaces foram definidas para estabelecer contratos de comportamento: ICertificavel, que define os métodos GerarCertificado() e ValidarCertificado(), e ICsvPersistivel&lt;T&gt;, uma interface genérica que define as operações CRUD (LerTodos, BuscarPorId, Salvar, Atualizar, Remover) para qualquer entidade persistida em CSV. O uso de generics (T where T : class) permite que a mesma interface seja implementada por diferentes services sem duplicação de código.</w:t>
      </w:r>
    </w:p>
    <w:p>
      <w:pPr>
        <w:spacing w:after="100" w:before="200" w:line="360"/>
      </w:pPr>
      <w:r>
        <w:rPr>
          <w:rFonts w:ascii="Arial" w:cs="Arial" w:eastAsia="Arial" w:hAnsi="Arial"/>
          <w:b w:val="false"/>
          <w:bCs w:val="false"/>
          <w:i/>
          <w:iCs/>
          <w:sz w:val="24"/>
          <w:szCs w:val="24"/>
        </w:rPr>
        <w:t xml:space="preserve">3.2.3 Enumerações</w:t>
      </w:r>
    </w:p>
    <w:p>
      <w:pPr>
        <w:spacing w:after="0" w:before="0" w:line="360"/>
        <w:ind w:firstLine="851"/>
        <w:jc w:val="both"/>
      </w:pPr>
      <w:r>
        <w:rPr>
          <w:rFonts w:ascii="Arial" w:cs="Arial" w:eastAsia="Arial" w:hAnsi="Arial"/>
          <w:b w:val="false"/>
          <w:bCs w:val="false"/>
          <w:i w:val="false"/>
          <w:iCs w:val="false"/>
          <w:sz w:val="24"/>
          <w:szCs w:val="24"/>
        </w:rPr>
        <w:t xml:space="preserve">O sistema utiliza três enumerações para tipagem forte: TipoAtividade (Palestra, Minicurso, MesaRedonda, Workshop, Hackathon, Encerramento), StatusInscricao (Pendente, Confirmada, Cancelada, Concluída) e TipoNotificacao. As enumerações são serializadas como strings na API, facilitando a leitura dos dados no frontend.</w:t>
      </w:r>
    </w:p>
    <w:p>
      <w:pPr>
        <w:spacing w:after="100" w:before="200" w:line="360"/>
      </w:pPr>
      <w:r>
        <w:rPr>
          <w:rFonts w:ascii="Arial" w:cs="Arial" w:eastAsia="Arial" w:hAnsi="Arial"/>
          <w:b w:val="false"/>
          <w:bCs w:val="false"/>
          <w:i/>
          <w:iCs/>
          <w:sz w:val="24"/>
          <w:szCs w:val="24"/>
        </w:rPr>
        <w:t xml:space="preserve">3.2.4 Camada de Services e Injeção de Dependência</w:t>
      </w:r>
    </w:p>
    <w:p>
      <w:pPr>
        <w:spacing w:after="0" w:before="0" w:line="360"/>
        <w:ind w:firstLine="851"/>
        <w:jc w:val="both"/>
      </w:pPr>
      <w:r>
        <w:rPr>
          <w:rFonts w:ascii="Arial" w:cs="Arial" w:eastAsia="Arial" w:hAnsi="Arial"/>
          <w:b w:val="false"/>
          <w:bCs w:val="false"/>
          <w:i w:val="false"/>
          <w:iCs w:val="false"/>
          <w:sz w:val="24"/>
          <w:szCs w:val="24"/>
        </w:rPr>
        <w:t xml:space="preserve">Cada entidade possui um Service dedicado que implementa a lógica de negócios e a persistência em CSV. Os oito services (EventoService, AtividadeService, ParticipanteService, InscricaoService, CertificadoService, FeedbackService, NotificacaoService e TermoLibrasService) são registrados como Singletons no container de injeção de dependência do ASP.NET Core.</w:t>
      </w:r>
    </w:p>
    <w:p>
      <w:pPr>
        <w:spacing w:after="0" w:before="0" w:line="360"/>
        <w:ind w:firstLine="851"/>
        <w:jc w:val="both"/>
      </w:pPr>
      <w:r>
        <w:rPr>
          <w:rFonts w:ascii="Arial" w:cs="Arial" w:eastAsia="Arial" w:hAnsi="Arial"/>
          <w:b w:val="false"/>
          <w:bCs w:val="false"/>
          <w:i w:val="false"/>
          <w:iCs w:val="false"/>
          <w:sz w:val="24"/>
          <w:szCs w:val="24"/>
        </w:rPr>
        <w:t xml:space="preserve">O InscricaoService, por exemplo, recebe por injeção o AtividadeService, o ParticipanteService e o NotificacaoService, demonstrando a composição de serviços. Ao criar uma inscrição, o service verifica vagas disponíveis, valida o participante, atualiza o contador de vagas e cria uma notificação automática, tudo de forma encapsulada.</w:t>
      </w:r>
    </w:p>
    <w:p>
      <w:pPr>
        <w:spacing w:after="100" w:before="200" w:line="360"/>
      </w:pPr>
      <w:r>
        <w:rPr>
          <w:rFonts w:ascii="Arial" w:cs="Arial" w:eastAsia="Arial" w:hAnsi="Arial"/>
          <w:b w:val="false"/>
          <w:bCs w:val="false"/>
          <w:i/>
          <w:iCs/>
          <w:sz w:val="24"/>
          <w:szCs w:val="24"/>
        </w:rPr>
        <w:t xml:space="preserve">3.2.5 Endpoints da API</w:t>
      </w:r>
    </w:p>
    <w:p>
      <w:pPr>
        <w:spacing w:after="0" w:before="0" w:line="360"/>
        <w:ind w:firstLine="851"/>
        <w:jc w:val="both"/>
      </w:pPr>
      <w:r>
        <w:rPr>
          <w:rFonts w:ascii="Arial" w:cs="Arial" w:eastAsia="Arial" w:hAnsi="Arial"/>
          <w:b w:val="false"/>
          <w:bCs w:val="false"/>
          <w:i w:val="false"/>
          <w:iCs w:val="false"/>
          <w:sz w:val="24"/>
          <w:szCs w:val="24"/>
        </w:rPr>
        <w:t xml:space="preserve">A API expõe 16 endpoints REST organizados em 8 controllers. Os principais endpoints incluem: listagem e busca de eventos e atividades (GET), cadastro de participantes com validação de CPF (POST), gestão de inscrições com cancelamento (POST/PATCH), emissão e validação de certificados (GET), envio de feedback (POST), gestão de notificações (GET) e consulta ao glossário de Libras com busca e filtro por categoria (GET). A documentação completa está disponível via Swagger em /swagger.</w:t>
      </w:r>
    </w:p>
    <w:p>
      <w:pPr>
        <w:spacing w:after="100" w:before="200" w:line="360"/>
      </w:pPr>
      <w:r>
        <w:rPr>
          <w:rFonts w:ascii="Arial" w:cs="Arial" w:eastAsia="Arial" w:hAnsi="Arial"/>
          <w:b w:val="false"/>
          <w:bCs w:val="false"/>
          <w:i/>
          <w:iCs/>
          <w:sz w:val="24"/>
          <w:szCs w:val="24"/>
        </w:rPr>
        <w:t xml:space="preserve">3.2.6 Persistência em CSV e Dados Iniciais</w:t>
      </w:r>
    </w:p>
    <w:p>
      <w:pPr>
        <w:spacing w:after="0" w:before="0" w:line="360"/>
        <w:ind w:firstLine="851"/>
        <w:jc w:val="both"/>
      </w:pPr>
      <w:r>
        <w:rPr>
          <w:rFonts w:ascii="Arial" w:cs="Arial" w:eastAsia="Arial" w:hAnsi="Arial"/>
          <w:b w:val="false"/>
          <w:bCs w:val="false"/>
          <w:i w:val="false"/>
          <w:iCs w:val="false"/>
          <w:sz w:val="24"/>
          <w:szCs w:val="24"/>
        </w:rPr>
        <w:t xml:space="preserve">A classe CsvHelper&lt;T&gt; implementa leitura e escrita genérica de arquivos CSV utilizando reflexão (reflection) para mapear propriedades dos objetos para colunas. A classe SeedData popula automaticamente os CSVs com dados iniciais na primeira execução: um evento (Semana de TI Inclusiva), nove atividades distribuídas em cinco dias e quinze termos do glossário de Libras.</w:t>
      </w:r>
    </w:p>
    <w:p>
      <w:r>
        <w:br w:type="page"/>
      </w:r>
    </w:p>
    <w:p>
      <w:pPr>
        <w:spacing w:after="120" w:before="240" w:line="360"/>
      </w:pPr>
      <w:r>
        <w:rPr>
          <w:rFonts w:ascii="Arial" w:cs="Arial" w:eastAsia="Arial" w:hAnsi="Arial"/>
          <w:b/>
          <w:bCs/>
          <w:sz w:val="24"/>
          <w:szCs w:val="24"/>
        </w:rPr>
        <w:t xml:space="preserve">3.3 Frontend – Interface Web Responsiva</w:t>
      </w:r>
    </w:p>
    <w:p>
      <w:pPr>
        <w:spacing w:after="0" w:before="0" w:line="360"/>
        <w:ind w:firstLine="851"/>
        <w:jc w:val="both"/>
      </w:pPr>
      <w:r>
        <w:rPr>
          <w:rFonts w:ascii="Arial" w:cs="Arial" w:eastAsia="Arial" w:hAnsi="Arial"/>
          <w:b w:val="false"/>
          <w:bCs w:val="false"/>
          <w:i w:val="false"/>
          <w:iCs w:val="false"/>
          <w:sz w:val="24"/>
          <w:szCs w:val="24"/>
        </w:rPr>
        <w:t xml:space="preserve">O frontend do sistema foi desenvolvido em HTML5, CSS3 e JavaScript vanilla, sem utilização de frameworks ou bibliotecas externas, conforme requisito do projeto. A interface segue a identidade visual “Domínio Visual”, com paleta de cores em tons de oliva e dourado, tipografia Sora (headings) e Poppins (body), e estética glassmorphic com backdrop-filter e transparências.</w:t>
      </w:r>
    </w:p>
    <w:p>
      <w:pPr>
        <w:spacing w:after="100" w:before="200" w:line="360"/>
      </w:pPr>
      <w:r>
        <w:rPr>
          <w:rFonts w:ascii="Arial" w:cs="Arial" w:eastAsia="Arial" w:hAnsi="Arial"/>
          <w:b w:val="false"/>
          <w:bCs w:val="false"/>
          <w:i/>
          <w:iCs/>
          <w:sz w:val="24"/>
          <w:szCs w:val="24"/>
        </w:rPr>
        <w:t xml:space="preserve">3.3.1 Estrutura de Páginas</w:t>
      </w:r>
    </w:p>
    <w:p>
      <w:pPr>
        <w:spacing w:after="0" w:before="0" w:line="360"/>
        <w:ind w:firstLine="851"/>
        <w:jc w:val="both"/>
      </w:pPr>
      <w:r>
        <w:rPr>
          <w:rFonts w:ascii="Arial" w:cs="Arial" w:eastAsia="Arial" w:hAnsi="Arial"/>
          <w:b w:val="false"/>
          <w:bCs w:val="false"/>
          <w:i w:val="false"/>
          <w:iCs w:val="false"/>
          <w:sz w:val="24"/>
          <w:szCs w:val="24"/>
        </w:rPr>
        <w:t xml:space="preserve">O site é composto por seis páginas HTML: index.html (página inicial com hero, sobre o evento e atividades em destaque), programacao.html (grade de programação completa com filtros por tipo e abas por dia), inscricao.html (formulário multi-step com dados pessoais, seleção de atividade e confirmação), area-participante.html (dashboard com estatísticas, notificações, inscrições e formulário de feedback), certificados.html (validação por código e consulta por CPF) e libras.html (glossário com busca e filtro, além de cards de demanda de intérpretes).</w:t>
      </w:r>
    </w:p>
    <w:p>
      <w:pPr>
        <w:spacing w:after="100" w:before="200" w:line="360"/>
      </w:pPr>
      <w:r>
        <w:rPr>
          <w:rFonts w:ascii="Arial" w:cs="Arial" w:eastAsia="Arial" w:hAnsi="Arial"/>
          <w:b w:val="false"/>
          <w:bCs w:val="false"/>
          <w:i/>
          <w:iCs/>
          <w:sz w:val="24"/>
          <w:szCs w:val="24"/>
        </w:rPr>
        <w:t xml:space="preserve">3.3.2 Design Responsivo e Mobile-First</w:t>
      </w:r>
    </w:p>
    <w:p>
      <w:pPr>
        <w:spacing w:after="0" w:before="0" w:line="360"/>
        <w:ind w:firstLine="851"/>
        <w:jc w:val="both"/>
      </w:pPr>
      <w:r>
        <w:rPr>
          <w:rFonts w:ascii="Arial" w:cs="Arial" w:eastAsia="Arial" w:hAnsi="Arial"/>
          <w:b w:val="false"/>
          <w:bCs w:val="false"/>
          <w:i w:val="false"/>
          <w:iCs w:val="false"/>
          <w:sz w:val="24"/>
          <w:szCs w:val="24"/>
        </w:rPr>
        <w:t xml:space="preserve">O design responsivo foi implementado seguindo a abordagem mobile-first, com o CSS base projetado para telas de 375px (iPhone SE). Cinco breakpoints foram definidos para adaptação progressiva: 560px (transição para 2 colunas em grids), 768px (tablet), 900px (navbar troca de hamburger para links inline), 1024px (layout desktop completo com 3 colunas) e 1280px (container com max-width de 1180px centralizado).</w:t>
      </w:r>
    </w:p>
    <w:p>
      <w:pPr>
        <w:spacing w:after="0" w:before="0" w:line="360"/>
        <w:ind w:firstLine="851"/>
        <w:jc w:val="both"/>
      </w:pPr>
      <w:r>
        <w:rPr>
          <w:rFonts w:ascii="Arial" w:cs="Arial" w:eastAsia="Arial" w:hAnsi="Arial"/>
          <w:b w:val="false"/>
          <w:bCs w:val="false"/>
          <w:i w:val="false"/>
          <w:iCs w:val="false"/>
          <w:sz w:val="24"/>
          <w:szCs w:val="24"/>
        </w:rPr>
        <w:t xml:space="preserve">Os layouts utilizam CSS Grid e Flexbox para organização dos elementos. O sistema de grid opera com colunas responsivas: coluna única no mobile, duas colunas a partir de 560px e três colunas a partir de 1024px. O padding lateral é responsivo via clamp(), garantindo espaçamento adequado em todas as dimensões.</w:t>
      </w:r>
    </w:p>
    <w:p>
      <w:pPr>
        <w:spacing w:after="0" w:before="0" w:line="360"/>
        <w:ind w:firstLine="851"/>
        <w:jc w:val="both"/>
      </w:pPr>
      <w:r>
        <w:rPr>
          <w:rFonts w:ascii="Arial" w:cs="Arial" w:eastAsia="Arial" w:hAnsi="Arial"/>
          <w:b w:val="false"/>
          <w:bCs w:val="false"/>
          <w:i w:val="false"/>
          <w:iCs w:val="false"/>
          <w:sz w:val="24"/>
          <w:szCs w:val="24"/>
        </w:rPr>
        <w:t xml:space="preserve">O menu de navegação utiliza o padrão hamburger para telas menores que 900px, com transição animada para menu inline em telas maiores. Os formulários foram projetados com inputs de altura mínima de 48px e font-size de 1rem para evitar zoom automático no iOS.</w:t>
      </w:r>
    </w:p>
    <w:p>
      <w:pPr>
        <w:spacing w:after="100" w:before="200" w:line="360"/>
      </w:pPr>
      <w:r>
        <w:rPr>
          <w:rFonts w:ascii="Arial" w:cs="Arial" w:eastAsia="Arial" w:hAnsi="Arial"/>
          <w:b w:val="false"/>
          <w:bCs w:val="false"/>
          <w:i/>
          <w:iCs/>
          <w:sz w:val="24"/>
          <w:szCs w:val="24"/>
        </w:rPr>
        <w:t xml:space="preserve">3.3.3 Acessibilidade</w:t>
      </w:r>
    </w:p>
    <w:p>
      <w:pPr>
        <w:spacing w:after="0" w:before="0" w:line="360"/>
        <w:ind w:firstLine="851"/>
        <w:jc w:val="both"/>
      </w:pPr>
      <w:r>
        <w:rPr>
          <w:rFonts w:ascii="Arial" w:cs="Arial" w:eastAsia="Arial" w:hAnsi="Arial"/>
          <w:b w:val="false"/>
          <w:bCs w:val="false"/>
          <w:i w:val="false"/>
          <w:iCs w:val="false"/>
          <w:sz w:val="24"/>
          <w:szCs w:val="24"/>
        </w:rPr>
        <w:t xml:space="preserve">A acessibilidade foi tratada como requisito transversal em todas as páginas. Os recursos implementados incluem: focus-visible com outline de 2px solid gold-pale em todos os elementos interativos; suporte a prefers-reduced-motion para desabilitar animações; touch targets mínimos de 44px conforme recomendação WCAG; hierarquia sequencial de headings (h1, h2, h3); aria-labels em botões de ícone e navegação; contraste de texto superior a 4.5:1; e elementos semânticos HTML5 (nav, main, section, footer) com roles ARIA adequados.</w:t>
      </w:r>
    </w:p>
    <w:p>
      <w:pPr>
        <w:spacing w:after="100" w:before="200" w:line="360"/>
      </w:pPr>
      <w:r>
        <w:rPr>
          <w:rFonts w:ascii="Arial" w:cs="Arial" w:eastAsia="Arial" w:hAnsi="Arial"/>
          <w:b w:val="false"/>
          <w:bCs w:val="false"/>
          <w:i/>
          <w:iCs/>
          <w:sz w:val="24"/>
          <w:szCs w:val="24"/>
        </w:rPr>
        <w:t xml:space="preserve">3.3.4 Integração com a API</w:t>
      </w:r>
    </w:p>
    <w:p>
      <w:pPr>
        <w:spacing w:after="0" w:before="0" w:line="360"/>
        <w:ind w:firstLine="851"/>
        <w:jc w:val="both"/>
      </w:pPr>
      <w:r>
        <w:rPr>
          <w:rFonts w:ascii="Arial" w:cs="Arial" w:eastAsia="Arial" w:hAnsi="Arial"/>
          <w:b w:val="false"/>
          <w:bCs w:val="false"/>
          <w:i w:val="false"/>
          <w:iCs w:val="false"/>
          <w:sz w:val="24"/>
          <w:szCs w:val="24"/>
        </w:rPr>
        <w:t xml:space="preserve">O arquivo utils.js centraliza as funções de comunicação com a API, incluindo helpers para requisições Fetch com tratamento de erros, formatação de datas, gerenciamento de sessão via localStorage e alertas visuais. O arquivo main.js implementa a lógica de todas as páginas, incluindo renderização dinâmica de conteúdo, filtros, validação de formulários e interação com os endpoints REST.</w:t>
      </w:r>
    </w:p>
    <w:p>
      <w:r>
        <w:br w:type="page"/>
      </w:r>
    </w:p>
    <w:p>
      <w:pPr>
        <w:spacing w:after="120" w:before="240" w:line="360"/>
      </w:pPr>
      <w:r>
        <w:rPr>
          <w:rFonts w:ascii="Arial" w:cs="Arial" w:eastAsia="Arial" w:hAnsi="Arial"/>
          <w:b/>
          <w:bCs/>
          <w:sz w:val="24"/>
          <w:szCs w:val="24"/>
        </w:rPr>
        <w:t xml:space="preserve">3.4 Plano de Comunicação e Negociação do Evento</w:t>
      </w:r>
    </w:p>
    <w:p>
      <w:pPr>
        <w:spacing w:after="0" w:before="0" w:line="360"/>
        <w:ind w:firstLine="851"/>
        <w:jc w:val="both"/>
      </w:pPr>
      <w:r>
        <w:rPr>
          <w:rFonts w:ascii="Arial" w:cs="Arial" w:eastAsia="Arial" w:hAnsi="Arial"/>
          <w:b w:val="false"/>
          <w:bCs w:val="false"/>
          <w:i w:val="false"/>
          <w:iCs w:val="false"/>
          <w:sz w:val="24"/>
          <w:szCs w:val="24"/>
        </w:rPr>
        <w:t xml:space="preserve">O plano de comunicação da Semana de TI Inclusiva foi elaborado articulando os conceitos de comunicação integrada e gestão relacional ao ambiente virtual desenvolvido. O plano contempla cinco dimensões fundamentais: mapeamento de públicos, objetivos comunicacionais, seleção de canais, mensagens-chave e cenários de negociação.</w:t>
      </w:r>
    </w:p>
    <w:p>
      <w:pPr>
        <w:spacing w:after="100" w:before="200" w:line="360"/>
      </w:pPr>
      <w:r>
        <w:rPr>
          <w:rFonts w:ascii="Arial" w:cs="Arial" w:eastAsia="Arial" w:hAnsi="Arial"/>
          <w:b w:val="false"/>
          <w:bCs w:val="false"/>
          <w:i/>
          <w:iCs/>
          <w:sz w:val="24"/>
          <w:szCs w:val="24"/>
        </w:rPr>
        <w:t xml:space="preserve">3.4.1 Mapeamento de Públicos</w:t>
      </w:r>
    </w:p>
    <w:p>
      <w:pPr>
        <w:spacing w:after="0" w:before="0" w:line="360"/>
        <w:ind w:firstLine="851"/>
        <w:jc w:val="both"/>
      </w:pPr>
      <w:r>
        <w:rPr>
          <w:rFonts w:ascii="Arial" w:cs="Arial" w:eastAsia="Arial" w:hAnsi="Arial"/>
          <w:b w:val="false"/>
          <w:bCs w:val="false"/>
          <w:i w:val="false"/>
          <w:iCs w:val="false"/>
          <w:sz w:val="24"/>
          <w:szCs w:val="24"/>
        </w:rPr>
        <w:t xml:space="preserve">Foram identificados cinco públicos principais do evento: participantes (estudantes de TI e áreas afins), palestrantes e facilitadores, patrocinadores e apoiadores, coordenação de curso e equipe técnica. Para cada público foram definidos objetivos comunicacionais específicos. Os participantes, por exemplo, devem ser informados sobre a programação, orientados no processo de inscrição e engajados durante as atividades. Os palestrantes necessitam de informações logísticas, suporte técnico e feedback pós-evento.</w:t>
      </w:r>
    </w:p>
    <w:p>
      <w:pPr>
        <w:spacing w:after="100" w:before="200" w:line="360"/>
      </w:pPr>
      <w:r>
        <w:rPr>
          <w:rFonts w:ascii="Arial" w:cs="Arial" w:eastAsia="Arial" w:hAnsi="Arial"/>
          <w:b w:val="false"/>
          <w:bCs w:val="false"/>
          <w:i/>
          <w:iCs/>
          <w:sz w:val="24"/>
          <w:szCs w:val="24"/>
        </w:rPr>
        <w:t xml:space="preserve">3.4.2 Canais de Comunicação</w:t>
      </w:r>
    </w:p>
    <w:p>
      <w:pPr>
        <w:spacing w:after="0" w:before="0" w:line="360"/>
        <w:ind w:firstLine="851"/>
        <w:jc w:val="both"/>
      </w:pPr>
      <w:r>
        <w:rPr>
          <w:rFonts w:ascii="Arial" w:cs="Arial" w:eastAsia="Arial" w:hAnsi="Arial"/>
          <w:b w:val="false"/>
          <w:bCs w:val="false"/>
          <w:i w:val="false"/>
          <w:iCs w:val="false"/>
          <w:sz w:val="24"/>
          <w:szCs w:val="24"/>
        </w:rPr>
        <w:t xml:space="preserve">Os canais de comunicação selecionados incluem: o próprio ambiente virtual (páginas do site com informações atualizadas), sistema de notificações in-app (área do participante), e-mail (confirmações de inscrição e envio de certificados), redes sociais (divulgação pré-evento e cobertura durante o evento) e avisos internos (comunicação com a equipe organizadora). A integração entre canais garante consistência de mensagem e cobertura ampla dos públicos.</w:t>
      </w:r>
    </w:p>
    <w:p>
      <w:pPr>
        <w:spacing w:after="100" w:before="200" w:line="360"/>
      </w:pPr>
      <w:r>
        <w:rPr>
          <w:rFonts w:ascii="Arial" w:cs="Arial" w:eastAsia="Arial" w:hAnsi="Arial"/>
          <w:b w:val="false"/>
          <w:bCs w:val="false"/>
          <w:i/>
          <w:iCs/>
          <w:sz w:val="24"/>
          <w:szCs w:val="24"/>
        </w:rPr>
        <w:t xml:space="preserve">3.4.3 Mensagens-Chave</w:t>
      </w:r>
    </w:p>
    <w:p>
      <w:pPr>
        <w:spacing w:after="0" w:before="0" w:line="360"/>
        <w:ind w:firstLine="851"/>
        <w:jc w:val="both"/>
      </w:pPr>
      <w:r>
        <w:rPr>
          <w:rFonts w:ascii="Arial" w:cs="Arial" w:eastAsia="Arial" w:hAnsi="Arial"/>
          <w:b w:val="false"/>
          <w:bCs w:val="false"/>
          <w:i w:val="false"/>
          <w:iCs w:val="false"/>
          <w:sz w:val="24"/>
          <w:szCs w:val="24"/>
        </w:rPr>
        <w:t xml:space="preserve">Foram elaboradas mensagens-chave para diferentes situações comunicacionais: convite para o evento (enfatizando a inclusão e a diversidade de atividades), confirmação de inscrição (com detalhes da atividade e orientações), alteração de programação (com transparência e opções alternativas), lembrete de atividade (com informações práticas) e agradecimento pós-evento (com link para certificado e formulário de feedback). Todas as mensagens foram redigidas em linguagem clara e acessível, seguindo princípios de comunicação inclusiva.</w:t>
      </w:r>
    </w:p>
    <w:p>
      <w:pPr>
        <w:spacing w:after="100" w:before="200" w:line="360"/>
      </w:pPr>
      <w:r>
        <w:rPr>
          <w:rFonts w:ascii="Arial" w:cs="Arial" w:eastAsia="Arial" w:hAnsi="Arial"/>
          <w:b w:val="false"/>
          <w:bCs w:val="false"/>
          <w:i/>
          <w:iCs/>
          <w:sz w:val="24"/>
          <w:szCs w:val="24"/>
        </w:rPr>
        <w:t xml:space="preserve">3.4.4 Cenários de Negociação e Gestão de Conflitos</w:t>
      </w:r>
    </w:p>
    <w:p>
      <w:pPr>
        <w:spacing w:after="0" w:before="0" w:line="360"/>
        <w:ind w:firstLine="851"/>
        <w:jc w:val="both"/>
      </w:pPr>
      <w:r>
        <w:rPr>
          <w:rFonts w:ascii="Arial" w:cs="Arial" w:eastAsia="Arial" w:hAnsi="Arial"/>
          <w:b w:val="false"/>
          <w:bCs w:val="false"/>
          <w:i w:val="false"/>
          <w:iCs w:val="false"/>
          <w:sz w:val="24"/>
          <w:szCs w:val="24"/>
        </w:rPr>
        <w:t xml:space="preserve">Dois cenários de negociação foram desenvolvidos para ilustrar a aplicação de técnicas de gestão de conflitos no contexto do evento:</w:t>
      </w:r>
    </w:p>
    <w:p>
      <w:pPr>
        <w:spacing w:after="0" w:before="0" w:line="360"/>
        <w:ind w:firstLine="851"/>
        <w:jc w:val="both"/>
      </w:pPr>
      <w:r>
        <w:rPr>
          <w:rFonts w:ascii="Arial" w:cs="Arial" w:eastAsia="Arial" w:hAnsi="Arial"/>
          <w:b w:val="false"/>
          <w:bCs w:val="false"/>
          <w:i w:val="false"/>
          <w:iCs w:val="false"/>
          <w:sz w:val="24"/>
          <w:szCs w:val="24"/>
        </w:rPr>
        <w:t xml:space="preserve">Cenário 1 – Disputa por horário de apresentação: dois palestrantes desejam o mesmo horário nobre (abertura do evento). A estratégia de resolução aplica os princípios da negociação baseada em princípios de Fisher, Ury e Patton (2011): separar as pessoas do problema, identificar os interesses subjacentes (visibilidade e audiência máxima), gerar opções criativas (transmissão simultânea em salas diferentes, gravação para acesso posterior) e utilizar critérios objetivos (número de inscritos prévios, alinhamento temático com a abertura).</w:t>
      </w:r>
    </w:p>
    <w:p>
      <w:pPr>
        <w:spacing w:after="0" w:before="0" w:line="360"/>
        <w:ind w:firstLine="851"/>
        <w:jc w:val="both"/>
      </w:pPr>
      <w:r>
        <w:rPr>
          <w:rFonts w:ascii="Arial" w:cs="Arial" w:eastAsia="Arial" w:hAnsi="Arial"/>
          <w:b w:val="false"/>
          <w:bCs w:val="false"/>
          <w:i w:val="false"/>
          <w:iCs w:val="false"/>
          <w:sz w:val="24"/>
          <w:szCs w:val="24"/>
        </w:rPr>
        <w:t xml:space="preserve">Cenário 2 – Desacordo sobre formato de certificação: participantes solicitam certificado por hora de participação em vez de por atividade completa. A mediação envolve escuta ativa das demandas, análise das implicações técnicas e administrativas, proposta de solução integrativa (certificado por atividade com registro de carga horária total) e comunicação transparente da decisão com justificativa. A liderança ética se manifesta na consideração dos interesses de todos os stakeholders e na busca por soluções que agreguem valor para o coletivo.</w:t>
      </w:r>
    </w:p>
    <w:p>
      <w:r>
        <w:br w:type="page"/>
      </w:r>
    </w:p>
    <w:p>
      <w:pPr>
        <w:spacing w:after="120" w:before="240" w:line="360"/>
      </w:pPr>
      <w:r>
        <w:rPr>
          <w:rFonts w:ascii="Arial" w:cs="Arial" w:eastAsia="Arial" w:hAnsi="Arial"/>
          <w:b/>
          <w:bCs/>
          <w:sz w:val="24"/>
          <w:szCs w:val="24"/>
        </w:rPr>
        <w:t xml:space="preserve">3.5 Recursos de Acessibilidade em Libras</w:t>
      </w:r>
    </w:p>
    <w:p>
      <w:pPr>
        <w:spacing w:after="0" w:before="0" w:line="360"/>
        <w:ind w:firstLine="851"/>
        <w:jc w:val="both"/>
      </w:pPr>
      <w:r>
        <w:rPr>
          <w:rFonts w:ascii="Arial" w:cs="Arial" w:eastAsia="Arial" w:hAnsi="Arial"/>
          <w:b w:val="false"/>
          <w:bCs w:val="false"/>
          <w:i w:val="false"/>
          <w:iCs w:val="false"/>
          <w:sz w:val="24"/>
          <w:szCs w:val="24"/>
        </w:rPr>
        <w:t xml:space="preserve">Os recursos de acessibilidade em Libras foram planejados e prototipados como parte integral do ambiente virtual, indo além da simples presença de intérpretes para construir uma experiência genuinamente bilíngue e inclusiva.</w:t>
      </w:r>
    </w:p>
    <w:p>
      <w:pPr>
        <w:spacing w:after="100" w:before="200" w:line="360"/>
      </w:pPr>
      <w:r>
        <w:rPr>
          <w:rFonts w:ascii="Arial" w:cs="Arial" w:eastAsia="Arial" w:hAnsi="Arial"/>
          <w:b w:val="false"/>
          <w:bCs w:val="false"/>
          <w:i/>
          <w:iCs/>
          <w:sz w:val="24"/>
          <w:szCs w:val="24"/>
        </w:rPr>
        <w:t xml:space="preserve">3.5.1 Glossário de Termos de TI em Libras</w:t>
      </w:r>
    </w:p>
    <w:p>
      <w:pPr>
        <w:spacing w:after="0" w:before="0" w:line="360"/>
        <w:ind w:firstLine="851"/>
        <w:jc w:val="both"/>
      </w:pPr>
      <w:r>
        <w:rPr>
          <w:rFonts w:ascii="Arial" w:cs="Arial" w:eastAsia="Arial" w:hAnsi="Arial"/>
          <w:b w:val="false"/>
          <w:bCs w:val="false"/>
          <w:i w:val="false"/>
          <w:iCs w:val="false"/>
          <w:sz w:val="24"/>
          <w:szCs w:val="24"/>
        </w:rPr>
        <w:t xml:space="preserve">Foi elaborado um glossário com quinze termos recorrentes em eventos acadêmicos de TI, organizados em cinco categorias: Evento (Inscrição, Credenciamento, Cancelamento, Programação, Encerramento), Atividade (Palestra, Minicurso, Mesa-redonda, Workshop, Hackathon), Documento (Certificado), Pessoa (Palestrante, Intérprete), Comunicação (Feedback) e Inclusão (Acessibilidade).</w:t>
      </w:r>
    </w:p>
    <w:p>
      <w:pPr>
        <w:spacing w:after="0" w:before="0" w:line="360"/>
        <w:ind w:firstLine="851"/>
        <w:jc w:val="both"/>
      </w:pPr>
      <w:r>
        <w:rPr>
          <w:rFonts w:ascii="Arial" w:cs="Arial" w:eastAsia="Arial" w:hAnsi="Arial"/>
          <w:b w:val="false"/>
          <w:bCs w:val="false"/>
          <w:i w:val="false"/>
          <w:iCs w:val="false"/>
          <w:sz w:val="24"/>
          <w:szCs w:val="24"/>
        </w:rPr>
        <w:t xml:space="preserve">Para cada termo, foram registrados: o termo em português, a descrição textual de como o sinal é realizado em Libras (configuração de mão, movimento, ponto de articulação e expressão facial), o contexto de uso dentro de eventos acadêmicos e a referência para vídeo demonstrativo. A descrição detalhada dos sinais segue os parâmetros fonológicos da Libras propostos por Quadros e Karnopp (2004): configuração de mão (CM), ponto de articulação (PA), movimento (M), orientação da palma (Or) e expressões não manuais (ENM).</w:t>
      </w:r>
    </w:p>
    <w:p>
      <w:pPr>
        <w:spacing w:after="0" w:before="0" w:line="360"/>
        <w:ind w:firstLine="851"/>
        <w:jc w:val="both"/>
      </w:pPr>
      <w:r>
        <w:rPr>
          <w:rFonts w:ascii="Arial" w:cs="Arial" w:eastAsia="Arial" w:hAnsi="Arial"/>
          <w:b w:val="false"/>
          <w:bCs w:val="false"/>
          <w:i w:val="false"/>
          <w:iCs w:val="false"/>
          <w:sz w:val="24"/>
          <w:szCs w:val="24"/>
        </w:rPr>
        <w:t xml:space="preserve">No frontend, o glossário é apresentado na página libras.html com funcionalidade de busca por termo e filtro por categoria. Cada termo é exibido em um card com o nome do sinal, a descrição da execução em Libras e o contexto de uso, seguindo princípios de design acessível com contraste adequado e tipografia legível.</w:t>
      </w:r>
    </w:p>
    <w:p>
      <w:pPr>
        <w:spacing w:after="100" w:before="200" w:line="360"/>
      </w:pPr>
      <w:r>
        <w:rPr>
          <w:rFonts w:ascii="Arial" w:cs="Arial" w:eastAsia="Arial" w:hAnsi="Arial"/>
          <w:b w:val="false"/>
          <w:bCs w:val="false"/>
          <w:i/>
          <w:iCs/>
          <w:sz w:val="24"/>
          <w:szCs w:val="24"/>
        </w:rPr>
        <w:t xml:space="preserve">3.5.2 Suporte a Intérpretes no Sistema</w:t>
      </w:r>
    </w:p>
    <w:p>
      <w:pPr>
        <w:spacing w:after="0" w:before="0" w:line="360"/>
        <w:ind w:firstLine="851"/>
        <w:jc w:val="both"/>
      </w:pPr>
      <w:r>
        <w:rPr>
          <w:rFonts w:ascii="Arial" w:cs="Arial" w:eastAsia="Arial" w:hAnsi="Arial"/>
          <w:b w:val="false"/>
          <w:bCs w:val="false"/>
          <w:i w:val="false"/>
          <w:iCs w:val="false"/>
          <w:sz w:val="24"/>
          <w:szCs w:val="24"/>
        </w:rPr>
        <w:t xml:space="preserve">O sistema integra o suporte a intérpretes de Libras em três níveis: no modelo Evento (campo SuporteLibras indicando cobertura geral), no modelo Atividade (campo TemInterpreteLibras para cada atividade individual) e no modelo Inscrição (campo SolicitouInterpreteLibras para demandas individuais dos participantes). Essa modelagem permite tanto a visualização de quais atividades contam com intérprete (badges visuais na programação) quanto o levantamento de demanda por intérpretes a partir das inscrições.</w:t>
      </w:r>
    </w:p>
    <w:p>
      <w:pPr>
        <w:spacing w:after="0" w:before="0" w:line="360"/>
        <w:ind w:firstLine="851"/>
        <w:jc w:val="both"/>
      </w:pPr>
      <w:r>
        <w:rPr>
          <w:rFonts w:ascii="Arial" w:cs="Arial" w:eastAsia="Arial" w:hAnsi="Arial"/>
          <w:b w:val="false"/>
          <w:bCs w:val="false"/>
          <w:i w:val="false"/>
          <w:iCs w:val="false"/>
          <w:sz w:val="24"/>
          <w:szCs w:val="24"/>
        </w:rPr>
        <w:t xml:space="preserve">Na interface do frontend, as atividades com intérprete de Libras são sinalizadas com um badge visual (ícone SVG de mão em Libras) na grade de programação e nos cards de detalhes. No formulário de inscrição, o participante pode indicar que necessita de intérprete, gerando uma demanda que pode ser consultada pela organização do evento para dimensionamento da equipe de acessibilidade.</w:t>
      </w:r>
    </w:p>
    <w:p>
      <w:pPr>
        <w:spacing w:after="100" w:before="200" w:line="360"/>
      </w:pPr>
      <w:r>
        <w:rPr>
          <w:rFonts w:ascii="Arial" w:cs="Arial" w:eastAsia="Arial" w:hAnsi="Arial"/>
          <w:b w:val="false"/>
          <w:bCs w:val="false"/>
          <w:i/>
          <w:iCs/>
          <w:sz w:val="24"/>
          <w:szCs w:val="24"/>
        </w:rPr>
        <w:t xml:space="preserve">3.5.3 Roteiros para Vídeos em Libras</w:t>
      </w:r>
    </w:p>
    <w:p>
      <w:pPr>
        <w:spacing w:after="0" w:before="0" w:line="360"/>
        <w:ind w:firstLine="851"/>
        <w:jc w:val="both"/>
      </w:pPr>
      <w:r>
        <w:rPr>
          <w:rFonts w:ascii="Arial" w:cs="Arial" w:eastAsia="Arial" w:hAnsi="Arial"/>
          <w:b w:val="false"/>
          <w:bCs w:val="false"/>
          <w:i w:val="false"/>
          <w:iCs w:val="false"/>
          <w:sz w:val="24"/>
          <w:szCs w:val="24"/>
        </w:rPr>
        <w:t xml:space="preserve">Foram elaborados roteiros para três vídeos em Libras que compõem o material de acessibilidade do evento: Vídeo 1 – Apresentação do Evento (boas-vindas em Libras, apresentação da programação e informações gerais), Vídeo 2 – Tutorial de Inscrição (passo a passo do processo de inscrição no ambiente virtual) e Vídeo 3 – Navegação na Plataforma (orientações sobre como acessar programação, área do participante, certificados e glossário). Os roteiros consideram a estrutura gramatical da Libras (Tópico-Comentário), o uso adequado de classificadores, a incorporação de expressões faciais gramaticais e o enquadramento visual do sinalizante.</w:t>
      </w:r>
    </w:p>
    <w:p>
      <w:r>
        <w:br w:type="page"/>
      </w:r>
    </w:p>
    <w:p>
      <w:pPr>
        <w:spacing w:after="240" w:before="240" w:line="360"/>
      </w:pPr>
      <w:r>
        <w:rPr>
          <w:rFonts w:ascii="Arial" w:cs="Arial" w:eastAsia="Arial" w:hAnsi="Arial"/>
          <w:b/>
          <w:bCs/>
          <w:sz w:val="24"/>
          <w:szCs w:val="24"/>
        </w:rPr>
        <w:t xml:space="preserve">4 CONCLUSÃO</w:t>
      </w:r>
    </w:p>
    <w:p>
      <w:pPr>
        <w:spacing w:after="0" w:before="0" w:line="360"/>
        <w:ind w:firstLine="851"/>
        <w:jc w:val="both"/>
      </w:pPr>
      <w:r>
        <w:rPr>
          <w:rFonts w:ascii="Arial" w:cs="Arial" w:eastAsia="Arial" w:hAnsi="Arial"/>
          <w:b w:val="false"/>
          <w:bCs w:val="false"/>
          <w:i w:val="false"/>
          <w:iCs w:val="false"/>
          <w:sz w:val="24"/>
          <w:szCs w:val="24"/>
        </w:rPr>
        <w:t xml:space="preserve">O presente trabalho alcançou o objetivo de desenvolver um ambiente virtual responsivo para eventos acadêmicos inclusivos na área de Tecnologia da Informação, integrando de forma articulada as quatro disciplinas do PIM V. A Semana de TI Inclusiva UNIP 2026 foi concebida como um caso prático que demonstra a viabilidade de convergir competências técnicas e humanas em um único projeto.</w:t>
      </w:r>
    </w:p>
    <w:p>
      <w:pPr>
        <w:spacing w:after="0" w:before="0" w:line="360"/>
        <w:ind w:firstLine="851"/>
        <w:jc w:val="both"/>
      </w:pPr>
      <w:r>
        <w:rPr>
          <w:rFonts w:ascii="Arial" w:cs="Arial" w:eastAsia="Arial" w:hAnsi="Arial"/>
          <w:b w:val="false"/>
          <w:bCs w:val="false"/>
          <w:i w:val="false"/>
          <w:iCs w:val="false"/>
          <w:sz w:val="24"/>
          <w:szCs w:val="24"/>
        </w:rPr>
        <w:t xml:space="preserve">Na dimensão do Desenvolvimento Web Responsivo, o frontend demonstrou a aplicação efetiva da abordagem mobile-first, com layouts adaptáveis a dispositivos de 375px a 1280px utilizando CSS Grid, Flexbox e media queries. A acessibilidade foi tratada como requisito transversal, com implementação de focus states, aria-labels, contraste adequado e suporte a prefers-reduced-motion.</w:t>
      </w:r>
    </w:p>
    <w:p>
      <w:pPr>
        <w:spacing w:after="0" w:before="0" w:line="360"/>
        <w:ind w:firstLine="851"/>
        <w:jc w:val="both"/>
      </w:pPr>
      <w:r>
        <w:rPr>
          <w:rFonts w:ascii="Arial" w:cs="Arial" w:eastAsia="Arial" w:hAnsi="Arial"/>
          <w:b w:val="false"/>
          <w:bCs w:val="false"/>
          <w:i w:val="false"/>
          <w:iCs w:val="false"/>
          <w:sz w:val="24"/>
          <w:szCs w:val="24"/>
        </w:rPr>
        <w:t xml:space="preserve">Na dimensão da Programação Orientada a Objetos com C#, a API REST evidenciou o domínio dos pilares da POO: a classe abstrata Pessoa demonstra herança e polimorfismo; os campos privados com validação nos setters demonstram encapsulamento; as interfaces ICertificavel e ICsvPersistivel&lt;T&gt; demonstram programação orientada a contratos com generics; e as enumerações garantem tipagem forte em categorias e status.</w:t>
      </w:r>
    </w:p>
    <w:p>
      <w:pPr>
        <w:spacing w:after="0" w:before="0" w:line="360"/>
        <w:ind w:firstLine="851"/>
        <w:jc w:val="both"/>
      </w:pPr>
      <w:r>
        <w:rPr>
          <w:rFonts w:ascii="Arial" w:cs="Arial" w:eastAsia="Arial" w:hAnsi="Arial"/>
          <w:b w:val="false"/>
          <w:bCs w:val="false"/>
          <w:i w:val="false"/>
          <w:iCs w:val="false"/>
          <w:sz w:val="24"/>
          <w:szCs w:val="24"/>
        </w:rPr>
        <w:t xml:space="preserve">Na dimensão de Comunicação, Liderança e Negociação, o plano de comunicação articulou mapeamento de públicos, canais, mensagens-chave e cenários de negociação, demonstrando a aplicação prática dos conceitos teóricos de comunicação integrada, negociação baseada em princípios e liderança ética.</w:t>
      </w:r>
    </w:p>
    <w:p>
      <w:pPr>
        <w:spacing w:after="0" w:before="0" w:line="360"/>
        <w:ind w:firstLine="851"/>
        <w:jc w:val="both"/>
      </w:pPr>
      <w:r>
        <w:rPr>
          <w:rFonts w:ascii="Arial" w:cs="Arial" w:eastAsia="Arial" w:hAnsi="Arial"/>
          <w:b w:val="false"/>
          <w:bCs w:val="false"/>
          <w:i w:val="false"/>
          <w:iCs w:val="false"/>
          <w:sz w:val="24"/>
          <w:szCs w:val="24"/>
        </w:rPr>
        <w:t xml:space="preserve">Na dimensão de Libras, o glossário com quinze termos de TI, o sistema de demanda de intérpretes e os roteiros para vídeos demonstram um compromisso com a inclusão linguística que vai além do cumprimento normativo, buscando construir uma experiência genuinamente bilíngue para participantes surdos.</w:t>
      </w:r>
    </w:p>
    <w:p>
      <w:pPr>
        <w:spacing w:after="0" w:before="0" w:line="360"/>
        <w:ind w:firstLine="851"/>
        <w:jc w:val="both"/>
      </w:pPr>
      <w:r>
        <w:rPr>
          <w:rFonts w:ascii="Arial" w:cs="Arial" w:eastAsia="Arial" w:hAnsi="Arial"/>
          <w:b w:val="false"/>
          <w:bCs w:val="false"/>
          <w:i w:val="false"/>
          <w:iCs w:val="false"/>
          <w:sz w:val="24"/>
          <w:szCs w:val="24"/>
        </w:rPr>
        <w:t xml:space="preserve">Como limitações do trabalho, pode-se apontar a ausência de banco de dados relacional (substituído por CSV para simplificação), a falta de autenticação robusta (o sistema usa identificação por CPF em localStorage) e a impossibilidade de gravar os vídeos em Libras no escopo deste projeto (sendo entregues como roteiros e storyboards). Essas limitações representam oportunidades para trabalhos futuros que podem expandir o sistema com autenticação JWT, banco de dados SQL Server, gravação dos vídeos de Libras e deploy em nuvem.</w:t>
      </w:r>
    </w:p>
    <w:p>
      <w:pPr>
        <w:spacing w:after="0" w:before="0" w:line="360"/>
        <w:ind w:firstLine="851"/>
        <w:jc w:val="both"/>
      </w:pPr>
      <w:r>
        <w:rPr>
          <w:rFonts w:ascii="Arial" w:cs="Arial" w:eastAsia="Arial" w:hAnsi="Arial"/>
          <w:b w:val="false"/>
          <w:bCs w:val="false"/>
          <w:i w:val="false"/>
          <w:iCs w:val="false"/>
          <w:sz w:val="24"/>
          <w:szCs w:val="24"/>
        </w:rPr>
        <w:t xml:space="preserve">Conclui-se que a convergência entre desenvolvimento web, orientação a objetos, comunicação organizacional e Libras permite construir protótipos de ecossistemas acadêmicos mais inclusivos, replicáveis em diferentes cursos e instituições, contribuindo para a democratização do acesso ao conhecimento e a valorização da diversidade linguística e cultural no ensino superior brasileiro.</w:t>
      </w:r>
    </w:p>
    <w:p>
      <w:r>
        <w:br w:type="page"/>
      </w:r>
    </w:p>
    <w:p>
      <w:pPr>
        <w:spacing w:after="0" w:before="0" w:line="360"/>
        <w:jc w:val="center"/>
      </w:pPr>
      <w:r>
        <w:rPr>
          <w:rFonts w:ascii="Arial" w:cs="Arial" w:eastAsia="Arial" w:hAnsi="Arial"/>
          <w:b/>
          <w:bCs/>
          <w:i w:val="false"/>
          <w:iCs w:val="false"/>
          <w:sz w:val="28"/>
          <w:szCs w:val="28"/>
        </w:rPr>
        <w:t xml:space="preserve">REFERÊNCIAS</w:t>
      </w:r>
    </w:p>
    <w:p>
      <w:pPr>
        <w:spacing w:line="360"/>
      </w:pPr>
      <w:r>
        <w:rPr>
          <w:rFonts w:ascii="Arial" w:cs="Arial" w:eastAsia="Arial" w:hAnsi="Arial"/>
          <w:sz w:val="24"/>
          <w:szCs w:val="24"/>
        </w:rPr>
        <w:t xml:space="preserve"/>
      </w:r>
    </w:p>
    <w:p>
      <w:pPr>
        <w:spacing w:after="200" w:line="240"/>
        <w:jc w:val="left"/>
      </w:pPr>
      <w:r>
        <w:rPr>
          <w:rFonts w:ascii="Arial" w:cs="Arial" w:eastAsia="Arial" w:hAnsi="Arial"/>
          <w:b w:val="false"/>
          <w:bCs w:val="false"/>
          <w:i w:val="false"/>
          <w:iCs w:val="false"/>
          <w:sz w:val="24"/>
          <w:szCs w:val="24"/>
        </w:rPr>
        <w:t xml:space="preserve">BRASIL. </w:t>
      </w:r>
      <w:r>
        <w:rPr>
          <w:rFonts w:ascii="Arial" w:cs="Arial" w:eastAsia="Arial" w:hAnsi="Arial"/>
          <w:b w:val="false"/>
          <w:bCs w:val="false"/>
          <w:i/>
          <w:iCs/>
          <w:sz w:val="24"/>
          <w:szCs w:val="24"/>
        </w:rPr>
        <w:t xml:space="preserve">Decreto nº 5.626, de 22 de dezembro de 2005. </w:t>
      </w:r>
      <w:r>
        <w:rPr>
          <w:rFonts w:ascii="Arial" w:cs="Arial" w:eastAsia="Arial" w:hAnsi="Arial"/>
          <w:b w:val="false"/>
          <w:bCs w:val="false"/>
          <w:i w:val="false"/>
          <w:iCs w:val="false"/>
          <w:sz w:val="24"/>
          <w:szCs w:val="24"/>
        </w:rPr>
        <w:t xml:space="preserve">Regulamenta a Lei nº 10.436, de 24 de abril de 2002, que dispõe sobre a Língua Brasileira de Sinais – Libras. Diário Oficial da União, Brasília, DF, 23 dez. 2005.</w:t>
      </w:r>
    </w:p>
    <w:p>
      <w:pPr>
        <w:spacing w:after="200" w:line="240"/>
        <w:jc w:val="left"/>
      </w:pPr>
      <w:r>
        <w:rPr>
          <w:rFonts w:ascii="Arial" w:cs="Arial" w:eastAsia="Arial" w:hAnsi="Arial"/>
          <w:b w:val="false"/>
          <w:bCs w:val="false"/>
          <w:i w:val="false"/>
          <w:iCs w:val="false"/>
          <w:sz w:val="24"/>
          <w:szCs w:val="24"/>
        </w:rPr>
        <w:t xml:space="preserve">BRASIL. </w:t>
      </w:r>
      <w:r>
        <w:rPr>
          <w:rFonts w:ascii="Arial" w:cs="Arial" w:eastAsia="Arial" w:hAnsi="Arial"/>
          <w:b w:val="false"/>
          <w:bCs w:val="false"/>
          <w:i/>
          <w:iCs/>
          <w:sz w:val="24"/>
          <w:szCs w:val="24"/>
        </w:rPr>
        <w:t xml:space="preserve">Lei nº 13.146, de 6 de julho de 2015. </w:t>
      </w:r>
      <w:r>
        <w:rPr>
          <w:rFonts w:ascii="Arial" w:cs="Arial" w:eastAsia="Arial" w:hAnsi="Arial"/>
          <w:b w:val="false"/>
          <w:bCs w:val="false"/>
          <w:i w:val="false"/>
          <w:iCs w:val="false"/>
          <w:sz w:val="24"/>
          <w:szCs w:val="24"/>
        </w:rPr>
        <w:t xml:space="preserve">Institui a Lei Brasileira de Inclusão da Pessoa com Deficiência (Estatuto da Pessoa com Deficiência). Diário Oficial da União, Brasília, DF, 7 jul. 2015.</w:t>
      </w:r>
    </w:p>
    <w:p>
      <w:pPr>
        <w:spacing w:after="200" w:line="240"/>
        <w:jc w:val="left"/>
      </w:pPr>
      <w:r>
        <w:rPr>
          <w:rFonts w:ascii="Arial" w:cs="Arial" w:eastAsia="Arial" w:hAnsi="Arial"/>
          <w:b w:val="false"/>
          <w:bCs w:val="false"/>
          <w:i w:val="false"/>
          <w:iCs w:val="false"/>
          <w:sz w:val="24"/>
          <w:szCs w:val="24"/>
        </w:rPr>
        <w:t xml:space="preserve">CHIAVENATO, Idalberto. </w:t>
      </w:r>
      <w:r>
        <w:rPr>
          <w:rFonts w:ascii="Arial" w:cs="Arial" w:eastAsia="Arial" w:hAnsi="Arial"/>
          <w:b w:val="false"/>
          <w:bCs w:val="false"/>
          <w:i/>
          <w:iCs/>
          <w:sz w:val="24"/>
          <w:szCs w:val="24"/>
        </w:rPr>
        <w:t xml:space="preserve">Gestão de pessoas: </w:t>
      </w:r>
      <w:r>
        <w:rPr>
          <w:rFonts w:ascii="Arial" w:cs="Arial" w:eastAsia="Arial" w:hAnsi="Arial"/>
          <w:b w:val="false"/>
          <w:bCs w:val="false"/>
          <w:i w:val="false"/>
          <w:iCs w:val="false"/>
          <w:sz w:val="24"/>
          <w:szCs w:val="24"/>
        </w:rPr>
        <w:t xml:space="preserve">o novo papel dos recursos humanos nas organizações. 4. ed. Barueri: Manole, 2014.</w:t>
      </w:r>
    </w:p>
    <w:p>
      <w:pPr>
        <w:spacing w:after="200" w:line="240"/>
        <w:jc w:val="left"/>
      </w:pPr>
      <w:r>
        <w:rPr>
          <w:rFonts w:ascii="Arial" w:cs="Arial" w:eastAsia="Arial" w:hAnsi="Arial"/>
          <w:b w:val="false"/>
          <w:bCs w:val="false"/>
          <w:i w:val="false"/>
          <w:iCs w:val="false"/>
          <w:sz w:val="24"/>
          <w:szCs w:val="24"/>
        </w:rPr>
        <w:t xml:space="preserve">DEITEL, Paul; DEITEL, Harvey. </w:t>
      </w:r>
      <w:r>
        <w:rPr>
          <w:rFonts w:ascii="Arial" w:cs="Arial" w:eastAsia="Arial" w:hAnsi="Arial"/>
          <w:b w:val="false"/>
          <w:bCs w:val="false"/>
          <w:i/>
          <w:iCs/>
          <w:sz w:val="24"/>
          <w:szCs w:val="24"/>
        </w:rPr>
        <w:t xml:space="preserve">C# 6.0 e Visual Studio 2015: </w:t>
      </w:r>
      <w:r>
        <w:rPr>
          <w:rFonts w:ascii="Arial" w:cs="Arial" w:eastAsia="Arial" w:hAnsi="Arial"/>
          <w:b w:val="false"/>
          <w:bCs w:val="false"/>
          <w:i w:val="false"/>
          <w:iCs w:val="false"/>
          <w:sz w:val="24"/>
          <w:szCs w:val="24"/>
        </w:rPr>
        <w:t xml:space="preserve">curso completo. São Paulo: Pearson Education, 2017.</w:t>
      </w:r>
    </w:p>
    <w:p>
      <w:pPr>
        <w:spacing w:after="200" w:line="240"/>
        <w:jc w:val="left"/>
      </w:pPr>
      <w:r>
        <w:rPr>
          <w:rFonts w:ascii="Arial" w:cs="Arial" w:eastAsia="Arial" w:hAnsi="Arial"/>
          <w:b w:val="false"/>
          <w:bCs w:val="false"/>
          <w:i w:val="false"/>
          <w:iCs w:val="false"/>
          <w:sz w:val="24"/>
          <w:szCs w:val="24"/>
        </w:rPr>
        <w:t xml:space="preserve">DUCKETT, Jon. </w:t>
      </w:r>
      <w:r>
        <w:rPr>
          <w:rFonts w:ascii="Arial" w:cs="Arial" w:eastAsia="Arial" w:hAnsi="Arial"/>
          <w:b w:val="false"/>
          <w:bCs w:val="false"/>
          <w:i/>
          <w:iCs/>
          <w:sz w:val="24"/>
          <w:szCs w:val="24"/>
        </w:rPr>
        <w:t xml:space="preserve">HTML e CSS: </w:t>
      </w:r>
      <w:r>
        <w:rPr>
          <w:rFonts w:ascii="Arial" w:cs="Arial" w:eastAsia="Arial" w:hAnsi="Arial"/>
          <w:b w:val="false"/>
          <w:bCs w:val="false"/>
          <w:i w:val="false"/>
          <w:iCs w:val="false"/>
          <w:sz w:val="24"/>
          <w:szCs w:val="24"/>
        </w:rPr>
        <w:t xml:space="preserve">projete e construa websites. Rio de Janeiro: Alta Books, 2011.</w:t>
      </w:r>
    </w:p>
    <w:p>
      <w:pPr>
        <w:spacing w:after="200" w:line="240"/>
        <w:jc w:val="left"/>
      </w:pPr>
      <w:r>
        <w:rPr>
          <w:rFonts w:ascii="Arial" w:cs="Arial" w:eastAsia="Arial" w:hAnsi="Arial"/>
          <w:b w:val="false"/>
          <w:bCs w:val="false"/>
          <w:i w:val="false"/>
          <w:iCs w:val="false"/>
          <w:sz w:val="24"/>
          <w:szCs w:val="24"/>
        </w:rPr>
        <w:t xml:space="preserve">FISHER, Roger; URY, William; PATTON, Bruce. </w:t>
      </w:r>
      <w:r>
        <w:rPr>
          <w:rFonts w:ascii="Arial" w:cs="Arial" w:eastAsia="Arial" w:hAnsi="Arial"/>
          <w:b w:val="false"/>
          <w:bCs w:val="false"/>
          <w:i/>
          <w:iCs/>
          <w:sz w:val="24"/>
          <w:szCs w:val="24"/>
        </w:rPr>
        <w:t xml:space="preserve">Como chegar ao sim: </w:t>
      </w:r>
      <w:r>
        <w:rPr>
          <w:rFonts w:ascii="Arial" w:cs="Arial" w:eastAsia="Arial" w:hAnsi="Arial"/>
          <w:b w:val="false"/>
          <w:bCs w:val="false"/>
          <w:i w:val="false"/>
          <w:iCs w:val="false"/>
          <w:sz w:val="24"/>
          <w:szCs w:val="24"/>
        </w:rPr>
        <w:t xml:space="preserve">como negociar acordos sem fazer concessões. 3. ed. Rio de Janeiro: Sextante, 2011.</w:t>
      </w:r>
    </w:p>
    <w:p>
      <w:pPr>
        <w:spacing w:after="200" w:line="240"/>
        <w:jc w:val="left"/>
      </w:pPr>
      <w:r>
        <w:rPr>
          <w:rFonts w:ascii="Arial" w:cs="Arial" w:eastAsia="Arial" w:hAnsi="Arial"/>
          <w:b w:val="false"/>
          <w:bCs w:val="false"/>
          <w:i w:val="false"/>
          <w:iCs w:val="false"/>
          <w:sz w:val="24"/>
          <w:szCs w:val="24"/>
        </w:rPr>
        <w:t xml:space="preserve">GAMMA, Erich et al. </w:t>
      </w:r>
      <w:r>
        <w:rPr>
          <w:rFonts w:ascii="Arial" w:cs="Arial" w:eastAsia="Arial" w:hAnsi="Arial"/>
          <w:b w:val="false"/>
          <w:bCs w:val="false"/>
          <w:i/>
          <w:iCs/>
          <w:sz w:val="24"/>
          <w:szCs w:val="24"/>
        </w:rPr>
        <w:t xml:space="preserve">Padrões de projeto: </w:t>
      </w:r>
      <w:r>
        <w:rPr>
          <w:rFonts w:ascii="Arial" w:cs="Arial" w:eastAsia="Arial" w:hAnsi="Arial"/>
          <w:b w:val="false"/>
          <w:bCs w:val="false"/>
          <w:i w:val="false"/>
          <w:iCs w:val="false"/>
          <w:sz w:val="24"/>
          <w:szCs w:val="24"/>
        </w:rPr>
        <w:t xml:space="preserve">soluções reutilizáveis de software orientado a objetos. Porto Alegre: Bookman, 1994.</w:t>
      </w:r>
    </w:p>
    <w:p>
      <w:pPr>
        <w:spacing w:after="200" w:line="240"/>
        <w:jc w:val="left"/>
      </w:pPr>
      <w:r>
        <w:rPr>
          <w:rFonts w:ascii="Arial" w:cs="Arial" w:eastAsia="Arial" w:hAnsi="Arial"/>
          <w:b w:val="false"/>
          <w:bCs w:val="false"/>
          <w:i w:val="false"/>
          <w:iCs w:val="false"/>
          <w:sz w:val="24"/>
          <w:szCs w:val="24"/>
        </w:rPr>
        <w:t xml:space="preserve">GIACAGLIA, Maria Cecília. </w:t>
      </w:r>
      <w:r>
        <w:rPr>
          <w:rFonts w:ascii="Arial" w:cs="Arial" w:eastAsia="Arial" w:hAnsi="Arial"/>
          <w:b w:val="false"/>
          <w:bCs w:val="false"/>
          <w:i/>
          <w:iCs/>
          <w:sz w:val="24"/>
          <w:szCs w:val="24"/>
        </w:rPr>
        <w:t xml:space="preserve">Organização de eventos: </w:t>
      </w:r>
      <w:r>
        <w:rPr>
          <w:rFonts w:ascii="Arial" w:cs="Arial" w:eastAsia="Arial" w:hAnsi="Arial"/>
          <w:b w:val="false"/>
          <w:bCs w:val="false"/>
          <w:i w:val="false"/>
          <w:iCs w:val="false"/>
          <w:sz w:val="24"/>
          <w:szCs w:val="24"/>
        </w:rPr>
        <w:t xml:space="preserve">teoria e prática. São Paulo: Cengage Learning, 2011.</w:t>
      </w:r>
    </w:p>
    <w:p>
      <w:pPr>
        <w:spacing w:after="200" w:line="240"/>
        <w:jc w:val="left"/>
      </w:pPr>
      <w:r>
        <w:rPr>
          <w:rFonts w:ascii="Arial" w:cs="Arial" w:eastAsia="Arial" w:hAnsi="Arial"/>
          <w:b w:val="false"/>
          <w:bCs w:val="false"/>
          <w:i w:val="false"/>
          <w:iCs w:val="false"/>
          <w:sz w:val="24"/>
          <w:szCs w:val="24"/>
        </w:rPr>
        <w:t xml:space="preserve">KUNSCH, Margarida Maria Krohling. </w:t>
      </w:r>
      <w:r>
        <w:rPr>
          <w:rFonts w:ascii="Arial" w:cs="Arial" w:eastAsia="Arial" w:hAnsi="Arial"/>
          <w:b w:val="false"/>
          <w:bCs w:val="false"/>
          <w:i/>
          <w:iCs/>
          <w:sz w:val="24"/>
          <w:szCs w:val="24"/>
        </w:rPr>
        <w:t xml:space="preserve">Planejamento de relações públicas na comunicação integrada. </w:t>
      </w:r>
      <w:r>
        <w:rPr>
          <w:rFonts w:ascii="Arial" w:cs="Arial" w:eastAsia="Arial" w:hAnsi="Arial"/>
          <w:b w:val="false"/>
          <w:bCs w:val="false"/>
          <w:i w:val="false"/>
          <w:iCs w:val="false"/>
          <w:sz w:val="24"/>
          <w:szCs w:val="24"/>
        </w:rPr>
        <w:t xml:space="preserve">4. ed. São Paulo: Summus, 2003.</w:t>
      </w:r>
    </w:p>
    <w:p>
      <w:pPr>
        <w:spacing w:after="200" w:line="240"/>
        <w:jc w:val="left"/>
      </w:pPr>
      <w:r>
        <w:rPr>
          <w:rFonts w:ascii="Arial" w:cs="Arial" w:eastAsia="Arial" w:hAnsi="Arial"/>
          <w:b w:val="false"/>
          <w:bCs w:val="false"/>
          <w:i w:val="false"/>
          <w:iCs w:val="false"/>
          <w:sz w:val="24"/>
          <w:szCs w:val="24"/>
        </w:rPr>
        <w:t xml:space="preserve">MARCOTTE, Ethan. </w:t>
      </w:r>
      <w:r>
        <w:rPr>
          <w:rFonts w:ascii="Arial" w:cs="Arial" w:eastAsia="Arial" w:hAnsi="Arial"/>
          <w:b w:val="false"/>
          <w:bCs w:val="false"/>
          <w:i/>
          <w:iCs/>
          <w:sz w:val="24"/>
          <w:szCs w:val="24"/>
        </w:rPr>
        <w:t xml:space="preserve">Responsive Web Design. </w:t>
      </w:r>
      <w:r>
        <w:rPr>
          <w:rFonts w:ascii="Arial" w:cs="Arial" w:eastAsia="Arial" w:hAnsi="Arial"/>
          <w:b w:val="false"/>
          <w:bCs w:val="false"/>
          <w:i w:val="false"/>
          <w:iCs w:val="false"/>
          <w:sz w:val="24"/>
          <w:szCs w:val="24"/>
        </w:rPr>
        <w:t xml:space="preserve">New York: A Book Apart, 2011.</w:t>
      </w:r>
    </w:p>
    <w:p>
      <w:pPr>
        <w:spacing w:after="200" w:line="240"/>
        <w:jc w:val="left"/>
      </w:pPr>
      <w:r>
        <w:rPr>
          <w:rFonts w:ascii="Arial" w:cs="Arial" w:eastAsia="Arial" w:hAnsi="Arial"/>
          <w:b w:val="false"/>
          <w:bCs w:val="false"/>
          <w:i w:val="false"/>
          <w:iCs w:val="false"/>
          <w:sz w:val="24"/>
          <w:szCs w:val="24"/>
        </w:rPr>
        <w:t xml:space="preserve">MICROSOFT. </w:t>
      </w:r>
      <w:r>
        <w:rPr>
          <w:rFonts w:ascii="Arial" w:cs="Arial" w:eastAsia="Arial" w:hAnsi="Arial"/>
          <w:b w:val="false"/>
          <w:bCs w:val="false"/>
          <w:i/>
          <w:iCs/>
          <w:sz w:val="24"/>
          <w:szCs w:val="24"/>
        </w:rPr>
        <w:t xml:space="preserve">ASP.NET Core documentation. </w:t>
      </w:r>
      <w:r>
        <w:rPr>
          <w:rFonts w:ascii="Arial" w:cs="Arial" w:eastAsia="Arial" w:hAnsi="Arial"/>
          <w:b w:val="false"/>
          <w:bCs w:val="false"/>
          <w:i w:val="false"/>
          <w:iCs w:val="false"/>
          <w:sz w:val="24"/>
          <w:szCs w:val="24"/>
        </w:rPr>
        <w:t xml:space="preserve">Disponível em: https://learn.microsoft.com/aspnet/core. Acesso em: 15 mar. 2026.</w:t>
      </w:r>
    </w:p>
    <w:p>
      <w:pPr>
        <w:spacing w:after="200" w:line="240"/>
        <w:jc w:val="left"/>
      </w:pPr>
      <w:r>
        <w:rPr>
          <w:rFonts w:ascii="Arial" w:cs="Arial" w:eastAsia="Arial" w:hAnsi="Arial"/>
          <w:b w:val="false"/>
          <w:bCs w:val="false"/>
          <w:i w:val="false"/>
          <w:iCs w:val="false"/>
          <w:sz w:val="24"/>
          <w:szCs w:val="24"/>
        </w:rPr>
        <w:t xml:space="preserve">QUADROS, Ronice Müller de; KARNOPP, Lodenir Becker. </w:t>
      </w:r>
      <w:r>
        <w:rPr>
          <w:rFonts w:ascii="Arial" w:cs="Arial" w:eastAsia="Arial" w:hAnsi="Arial"/>
          <w:b w:val="false"/>
          <w:bCs w:val="false"/>
          <w:i/>
          <w:iCs/>
          <w:sz w:val="24"/>
          <w:szCs w:val="24"/>
        </w:rPr>
        <w:t xml:space="preserve">Língua de sinais brasileira: </w:t>
      </w:r>
      <w:r>
        <w:rPr>
          <w:rFonts w:ascii="Arial" w:cs="Arial" w:eastAsia="Arial" w:hAnsi="Arial"/>
          <w:b w:val="false"/>
          <w:bCs w:val="false"/>
          <w:i w:val="false"/>
          <w:iCs w:val="false"/>
          <w:sz w:val="24"/>
          <w:szCs w:val="24"/>
        </w:rPr>
        <w:t xml:space="preserve">estudos linguísticos. Porto Alegre: Artmed, 2004.</w:t>
      </w:r>
    </w:p>
    <w:p>
      <w:pPr>
        <w:spacing w:after="200" w:line="240"/>
        <w:jc w:val="left"/>
      </w:pPr>
      <w:r>
        <w:rPr>
          <w:rFonts w:ascii="Arial" w:cs="Arial" w:eastAsia="Arial" w:hAnsi="Arial"/>
          <w:b w:val="false"/>
          <w:bCs w:val="false"/>
          <w:i w:val="false"/>
          <w:iCs w:val="false"/>
          <w:sz w:val="24"/>
          <w:szCs w:val="24"/>
        </w:rPr>
        <w:t xml:space="preserve">SOMMERVILLE, Ian. </w:t>
      </w:r>
      <w:r>
        <w:rPr>
          <w:rFonts w:ascii="Arial" w:cs="Arial" w:eastAsia="Arial" w:hAnsi="Arial"/>
          <w:b w:val="false"/>
          <w:bCs w:val="false"/>
          <w:i/>
          <w:iCs/>
          <w:sz w:val="24"/>
          <w:szCs w:val="24"/>
        </w:rPr>
        <w:t xml:space="preserve">Engenharia de software. </w:t>
      </w:r>
      <w:r>
        <w:rPr>
          <w:rFonts w:ascii="Arial" w:cs="Arial" w:eastAsia="Arial" w:hAnsi="Arial"/>
          <w:b w:val="false"/>
          <w:bCs w:val="false"/>
          <w:i w:val="false"/>
          <w:iCs w:val="false"/>
          <w:sz w:val="24"/>
          <w:szCs w:val="24"/>
        </w:rPr>
        <w:t xml:space="preserve">10. ed. São Paulo: Pearson Education, 2019.</w:t>
      </w:r>
    </w:p>
    <w:p>
      <w:pPr>
        <w:spacing w:after="200" w:line="240"/>
        <w:jc w:val="left"/>
      </w:pPr>
      <w:r>
        <w:rPr>
          <w:rFonts w:ascii="Arial" w:cs="Arial" w:eastAsia="Arial" w:hAnsi="Arial"/>
          <w:b w:val="false"/>
          <w:bCs w:val="false"/>
          <w:i w:val="false"/>
          <w:iCs w:val="false"/>
          <w:sz w:val="24"/>
          <w:szCs w:val="24"/>
        </w:rPr>
        <w:t xml:space="preserve">STROBEL, Karin. </w:t>
      </w:r>
      <w:r>
        <w:rPr>
          <w:rFonts w:ascii="Arial" w:cs="Arial" w:eastAsia="Arial" w:hAnsi="Arial"/>
          <w:b w:val="false"/>
          <w:bCs w:val="false"/>
          <w:i/>
          <w:iCs/>
          <w:sz w:val="24"/>
          <w:szCs w:val="24"/>
        </w:rPr>
        <w:t xml:space="preserve">As imagens do outro sobre a cultura surda. </w:t>
      </w:r>
      <w:r>
        <w:rPr>
          <w:rFonts w:ascii="Arial" w:cs="Arial" w:eastAsia="Arial" w:hAnsi="Arial"/>
          <w:b w:val="false"/>
          <w:bCs w:val="false"/>
          <w:i w:val="false"/>
          <w:iCs w:val="false"/>
          <w:sz w:val="24"/>
          <w:szCs w:val="24"/>
        </w:rPr>
        <w:t xml:space="preserve">Florianópolis: Editora UFSC, 2008.</w:t>
      </w:r>
    </w:p>
    <w:p>
      <w:pPr>
        <w:spacing w:after="200" w:line="240"/>
        <w:jc w:val="left"/>
      </w:pPr>
      <w:r>
        <w:rPr>
          <w:rFonts w:ascii="Arial" w:cs="Arial" w:eastAsia="Arial" w:hAnsi="Arial"/>
          <w:b w:val="false"/>
          <w:bCs w:val="false"/>
          <w:i w:val="false"/>
          <w:iCs w:val="false"/>
          <w:sz w:val="24"/>
          <w:szCs w:val="24"/>
        </w:rPr>
        <w:t xml:space="preserve">STUMPF, Marianne Rossi. </w:t>
      </w:r>
      <w:r>
        <w:rPr>
          <w:rFonts w:ascii="Arial" w:cs="Arial" w:eastAsia="Arial" w:hAnsi="Arial"/>
          <w:b w:val="false"/>
          <w:bCs w:val="false"/>
          <w:i/>
          <w:iCs/>
          <w:sz w:val="24"/>
          <w:szCs w:val="24"/>
        </w:rPr>
        <w:t xml:space="preserve">Aprendizagem de escrita de língua de sinais pelo sistema SignWriting: </w:t>
      </w:r>
      <w:r>
        <w:rPr>
          <w:rFonts w:ascii="Arial" w:cs="Arial" w:eastAsia="Arial" w:hAnsi="Arial"/>
          <w:b w:val="false"/>
          <w:bCs w:val="false"/>
          <w:i w:val="false"/>
          <w:iCs w:val="false"/>
          <w:sz w:val="24"/>
          <w:szCs w:val="24"/>
        </w:rPr>
        <w:t xml:space="preserve">Línguas de sinais no papel e no computador. Porto Alegre: UFRGS, 2005. Tese (Doutorado).</w:t>
      </w:r>
    </w:p>
    <w:p>
      <w:pPr>
        <w:spacing w:after="200" w:line="240"/>
        <w:jc w:val="left"/>
      </w:pPr>
      <w:r>
        <w:rPr>
          <w:rFonts w:ascii="Arial" w:cs="Arial" w:eastAsia="Arial" w:hAnsi="Arial"/>
          <w:b w:val="false"/>
          <w:bCs w:val="false"/>
          <w:i w:val="false"/>
          <w:iCs w:val="false"/>
          <w:sz w:val="24"/>
          <w:szCs w:val="24"/>
        </w:rPr>
        <w:t xml:space="preserve">TROELSEN, Andrew; JAPIKSE, Philip. </w:t>
      </w:r>
      <w:r>
        <w:rPr>
          <w:rFonts w:ascii="Arial" w:cs="Arial" w:eastAsia="Arial" w:hAnsi="Arial"/>
          <w:b w:val="false"/>
          <w:bCs w:val="false"/>
          <w:i/>
          <w:iCs/>
          <w:sz w:val="24"/>
          <w:szCs w:val="24"/>
        </w:rPr>
        <w:t xml:space="preserve">Pro C# 10 with .NET 6. </w:t>
      </w:r>
      <w:r>
        <w:rPr>
          <w:rFonts w:ascii="Arial" w:cs="Arial" w:eastAsia="Arial" w:hAnsi="Arial"/>
          <w:b w:val="false"/>
          <w:bCs w:val="false"/>
          <w:i w:val="false"/>
          <w:iCs w:val="false"/>
          <w:sz w:val="24"/>
          <w:szCs w:val="24"/>
        </w:rPr>
        <w:t xml:space="preserve">11th ed. New York: Apress, 2022.</w:t>
      </w:r>
    </w:p>
    <w:p>
      <w:pPr>
        <w:spacing w:after="200" w:line="240"/>
        <w:jc w:val="left"/>
      </w:pPr>
      <w:r>
        <w:rPr>
          <w:rFonts w:ascii="Arial" w:cs="Arial" w:eastAsia="Arial" w:hAnsi="Arial"/>
          <w:b w:val="false"/>
          <w:bCs w:val="false"/>
          <w:i w:val="false"/>
          <w:iCs w:val="false"/>
          <w:sz w:val="24"/>
          <w:szCs w:val="24"/>
        </w:rPr>
        <w:t xml:space="preserve">W3C. </w:t>
      </w:r>
      <w:r>
        <w:rPr>
          <w:rFonts w:ascii="Arial" w:cs="Arial" w:eastAsia="Arial" w:hAnsi="Arial"/>
          <w:b w:val="false"/>
          <w:bCs w:val="false"/>
          <w:i/>
          <w:iCs/>
          <w:sz w:val="24"/>
          <w:szCs w:val="24"/>
        </w:rPr>
        <w:t xml:space="preserve">Web Content Accessibility Guidelines (WCAG) 2.2. </w:t>
      </w:r>
      <w:r>
        <w:rPr>
          <w:rFonts w:ascii="Arial" w:cs="Arial" w:eastAsia="Arial" w:hAnsi="Arial"/>
          <w:b w:val="false"/>
          <w:bCs w:val="false"/>
          <w:i w:val="false"/>
          <w:iCs w:val="false"/>
          <w:sz w:val="24"/>
          <w:szCs w:val="24"/>
        </w:rPr>
        <w:t xml:space="preserve">2023. Disponível em: https://www.w3.org/TR/WCAG22/. Acesso em: 15 mar. 2026.</w:t>
      </w:r>
    </w:p>
    <w:p>
      <w:pPr>
        <w:spacing w:after="200" w:line="240"/>
        <w:jc w:val="left"/>
      </w:pPr>
      <w:r>
        <w:rPr>
          <w:rFonts w:ascii="Arial" w:cs="Arial" w:eastAsia="Arial" w:hAnsi="Arial"/>
          <w:b w:val="false"/>
          <w:bCs w:val="false"/>
          <w:i w:val="false"/>
          <w:iCs w:val="false"/>
          <w:sz w:val="24"/>
          <w:szCs w:val="24"/>
        </w:rPr>
        <w:t xml:space="preserve">WROBLEWSKI, Luke. </w:t>
      </w:r>
      <w:r>
        <w:rPr>
          <w:rFonts w:ascii="Arial" w:cs="Arial" w:eastAsia="Arial" w:hAnsi="Arial"/>
          <w:b w:val="false"/>
          <w:bCs w:val="false"/>
          <w:i/>
          <w:iCs/>
          <w:sz w:val="24"/>
          <w:szCs w:val="24"/>
        </w:rPr>
        <w:t xml:space="preserve">Mobile First. </w:t>
      </w:r>
      <w:r>
        <w:rPr>
          <w:rFonts w:ascii="Arial" w:cs="Arial" w:eastAsia="Arial" w:hAnsi="Arial"/>
          <w:b w:val="false"/>
          <w:bCs w:val="false"/>
          <w:i w:val="false"/>
          <w:iCs w:val="false"/>
          <w:sz w:val="24"/>
          <w:szCs w:val="24"/>
        </w:rPr>
        <w:t xml:space="preserve">New York: A Book Apart, 2011.</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2026-03-18T19:45:23.417Z</dcterms:created>
  <dcterms:modified xsi:type="dcterms:W3CDTF">2026-03-18T19:45:23.418Z</dcterms:modified>
</cp:coreProperties>
</file>

<file path=docProps/custom.xml><?xml version="1.0" encoding="utf-8"?>
<Properties xmlns="http://schemas.openxmlformats.org/officeDocument/2006/custom-properties" xmlns:vt="http://schemas.openxmlformats.org/officeDocument/2006/docPropsVTypes"/>
</file>