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numPr>
          <w:numId w:val="1"/>
        </w:numPr>
      </w:pPr>
      <w:r>
        <w:t>Дизайн представляет собой прямоугольную коробку, где быстросъемная лампочка утоплена в корпусе и тоже имеет прямоугольную форму, лампочка вставляется в пазы и в конце места крепления ловится магнитами и подключается по подпружиненным контактам, также на фронтальной части имеются пазы для специального устройства для замены лампы.</w:t>
      </w:r>
    </w:p>
    <w:p w14:paraId="02000000">
      <w:pPr>
        <w:pStyle w:val="Style_1"/>
        <w:numPr>
          <w:numId w:val="1"/>
        </w:numPr>
      </w:pPr>
      <w:r>
        <w:t>Для замены лампочки предполагается специальное устройство, крепящееся на дрон, при замене дрон подлетает к фронтальной части фонаря, ловится с маяками, и при помощи специального устройства (условно, выдвигающаяся распорка, которая вставляется в пазы на быстросъемной лампочке) достает старую лампочку, продвигает новую к месту крепления, и также при помощи специального устройства вставляет лампочку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numbering.xml" Type="http://schemas.openxmlformats.org/officeDocument/2006/relationships/numbering"/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2026-02-21T08:57:52Z</dcterms:modified>
</cp:coreProperties>
</file>