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Инструкция оператора Bybit Recommender</w:t>
      </w:r>
    </w:p>
    <w:p>
      <w:r>
        <w:t>Назначение: быстрый регламент проверки рекомендации перед ручным переносом параметров в Bybit Futures Grid Bot.</w:t>
      </w:r>
    </w:p>
    <w:p>
      <w:r>
        <w:rPr>
          <w:b/>
        </w:rPr>
        <w:t xml:space="preserve">Граница системы. </w:t>
      </w:r>
      <w:r>
        <w:t>Репозиторий является recommendation/audit service, not OMS/EMS. Он не управляет live order lifecycle, open orders, fills, partial fills или reconciliation. Перед реальным запуском внешний execution-layer обязан повторно проверить Bybit account state, баланс, маржу, открытые ордера и фактические лимиты инструмента.</w:t>
      </w:r>
    </w:p>
    <w:p>
      <w:pPr>
        <w:pStyle w:val="Heading1"/>
      </w:pPr>
      <w:r>
        <w:t>Профиль риска поставки</w:t>
      </w:r>
    </w:p>
    <w:p>
      <w:pPr>
        <w:pStyle w:val="ListBullet"/>
      </w:pPr>
      <w:r>
        <w:t>`min_leverage=3`, `max_leverage=5`; 3-5x is the baseline actionable leverage interval.</w:t>
      </w:r>
    </w:p>
    <w:p>
      <w:pPr>
        <w:pStyle w:val="ListBullet"/>
      </w:pPr>
      <w:r>
        <w:t>По умолчанию разрешён один running bot на аккаунт/символ.</w:t>
      </w:r>
    </w:p>
    <w:p>
      <w:pPr>
        <w:pStyle w:val="ListBullet"/>
      </w:pPr>
      <w:r>
        <w:t>Поддерживается только Bybit Linear USDT Futures Grid; spot/inverse/options/non-USDT блокируются.</w:t>
      </w:r>
    </w:p>
    <w:p>
      <w:pPr>
        <w:pStyle w:val="ListBullet"/>
      </w:pPr>
      <w:r>
        <w:t>Любой blocking/critical preflight означает NO TRADE.</w:t>
      </w:r>
    </w:p>
    <w:p>
      <w:pPr>
        <w:pStyle w:val="Heading1"/>
      </w:pPr>
      <w:r>
        <w:t>Устойчивость сигнала и идентичность рекомендации</w:t>
      </w:r>
    </w:p>
    <w:p>
      <w:pPr/>
      <w:r>
        <w:t>Actionable futures_grid допускается только после двух разных последовательно закрытых evidence snapshots (features_ref_ts). Повторный цикл на той же закрытой свече не является вторым подтверждением; до нового snapshot статус остаётся pending.</w:t>
      </w:r>
    </w:p>
    <w:p>
      <w:pPr/>
      <w:r>
        <w:t>Обновление карточки перечитывает exact selected rec_id. Более новая строка по той же паре, включая no_trade или смену направления, показывается отдельно в истории и не должна незаметно подменять открытую рекомендацию.</w:t>
      </w:r>
    </w:p>
    <w:p>
      <w:pPr/>
      <w:r>
        <w:t>Raw confidence — эвристическое качество запуска, а не вероятность прибыли. Даже calibrated confidence относится к proxy outcomes и не подтверждает live edge без walk-forward/shadow статистики по фактическим fills и costs.</w:t>
      </w:r>
    </w:p>
    <w:p>
      <w:pPr>
        <w:pStyle w:val="Heading1"/>
      </w:pPr>
      <w:r>
        <w:t>Directional TP/SL</w:t>
      </w:r>
    </w:p>
    <w:p>
      <w:pPr>
        <w:pStyle w:val="ListBullet"/>
      </w:pPr>
      <w:r>
        <w:t>Long: TP above entry/reference, SL below entry/reference.</w:t>
      </w:r>
    </w:p>
    <w:p>
      <w:pPr>
        <w:pStyle w:val="ListBullet"/>
      </w:pPr>
      <w:r>
        <w:t>Short: TP below entry/reference, SL above entry/reference.</w:t>
      </w:r>
    </w:p>
    <w:p>
      <w:pPr>
        <w:pStyle w:val="ListBullet"/>
      </w:pPr>
      <w:r>
        <w:t>Neutral grid: направленного TP нет; нижняя и верхняя внешние границы являются kill-switch exits.</w:t>
      </w:r>
    </w:p>
    <w:p>
      <w:pPr>
        <w:pStyle w:val="ListBullet"/>
      </w:pPr>
      <w:r>
        <w:t>UI должен отображать directional_exit_levels из backend, а не локально пересчитывать TP/SL для linear long/short.</w:t>
      </w:r>
    </w:p>
    <w:p>
      <w:pPr>
        <w:pStyle w:val="Heading1"/>
      </w:pPr>
      <w:r>
        <w:t>Обязательный trade plan</w:t>
      </w:r>
    </w:p>
    <w:p>
      <w:pPr>
        <w:pStyle w:val="ListBullet"/>
      </w:pPr>
      <w:r>
        <w:t>Complete `params.trade_plan` exists; no empty/corrupted payload.</w:t>
      </w:r>
    </w:p>
    <w:p>
      <w:pPr>
        <w:pStyle w:val="ListBullet"/>
      </w:pPr>
      <w:r>
        <w:t>reference_price; levels.range.lower/upper; levels.kill_switch.lower/upper.</w:t>
      </w:r>
    </w:p>
    <w:p>
      <w:pPr>
        <w:pStyle w:val="ListBullet"/>
      </w:pPr>
      <w:r>
        <w:t>levels.grid_step.step_abs; tp_per_leg; grid_count; arithmetic grid model.</w:t>
      </w:r>
    </w:p>
    <w:p>
      <w:pPr>
        <w:pStyle w:val="ListBullet"/>
      </w:pPr>
      <w:r>
        <w:t>explicit leverage, isolated margin mode, sizing/economics for qtyStep, minNotional and margin checks.</w:t>
      </w:r>
    </w:p>
    <w:p>
      <w:pPr>
        <w:pStyle w:val="Heading1"/>
      </w:pPr>
      <w:r>
        <w:t>NO TRADE условия</w:t>
      </w:r>
    </w:p>
    <w:p>
      <w:pPr>
        <w:pStyle w:val="ListBullet"/>
      </w:pPr>
      <w:r>
        <w:t>INVALID_MARKET_REFERENCE_PRICE.</w:t>
      </w:r>
    </w:p>
    <w:p>
      <w:pPr>
        <w:pStyle w:val="ListBullet"/>
      </w:pPr>
      <w:r>
        <w:t>Устаревшая publication-chain, stale market data, live ticker вне range/kill-switch, отсутствующая пара bid/ask, spread &gt;14 bps, live net edge &lt;2 bps или gross/cost coverage &lt;=1,10x.</w:t>
      </w:r>
    </w:p>
    <w:p>
      <w:pPr>
        <w:pStyle w:val="ListBullet"/>
      </w:pPr>
      <w:r>
        <w:t>Отсутствующие tickSize, qtyStep, minNotional, leverageFilter, non-Trading status.</w:t>
      </w:r>
    </w:p>
    <w:p>
      <w:pPr>
        <w:pStyle w:val="ListBullet"/>
      </w:pPr>
      <w:r>
        <w:t>Funding недоступен или adverse carry уничтожает net edge; LLM gate не OK при включённом gate-режиме.</w:t>
      </w:r>
    </w:p>
    <w:p>
      <w:pPr>
        <w:pStyle w:val="ListBullet"/>
      </w:pPr>
      <w:r>
        <w:t>Unknown/conflicting same-symbol direction in one-way mode.</w:t>
      </w:r>
    </w:p>
    <w:p>
      <w:pPr>
        <w:pStyle w:val="Heading1"/>
      </w:pPr>
      <w:r>
        <w:t>Практическая последовательность</w:t>
      </w:r>
    </w:p>
    <w:p>
      <w:r>
        <w:rPr>
          <w:b/>
        </w:rPr>
        <w:t xml:space="preserve">1. </w:t>
      </w:r>
      <w:r>
        <w:t>Проверить status/effective_status и отсутствие blocking errors.</w:t>
      </w:r>
    </w:p>
    <w:p>
      <w:r>
        <w:rPr>
          <w:b/>
        </w:rPr>
        <w:t xml:space="preserve">2. Сверить current price, best bid/ask spread, live net edge, TTL, Bybit metadata, funding snapshot и liquidation buffer.</w:t>
      </w:r>
      <w:r>
        <w:t/>
      </w:r>
    </w:p>
    <w:p>
      <w:r>
        <w:rPr>
          <w:b/>
        </w:rPr>
        <w:t xml:space="preserve">3. </w:t>
      </w:r>
      <w:r>
        <w:t>Переносить в Bybit только полный trade_plan; не использовать пустой/legacy payload.</w:t>
      </w:r>
    </w:p>
    <w:p>
      <w:r>
        <w:rPr>
          <w:b/>
        </w:rPr>
        <w:t xml:space="preserve">4. </w:t>
      </w:r>
      <w:r>
        <w:t>Не снижать severity guard-а вручную и не запускать при блокировках.</w:t>
      </w:r>
    </w:p>
    <w:p>
      <w:r>
        <w:br w:type="page"/>
      </w:r>
    </w:p>
    <w:p>
      <w:pPr>
        <w:pStyle w:val="Heading1"/>
      </w:pPr>
      <w:r>
        <w:t>Operator infographic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w_to_tra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