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1.0.32 (neutral one-way commitment integrity).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при reference точно на уровне активны N orders, между уровнями — N+1. Active resting orders не равны одновременно финансируемым slots. В one-way NEUTRAL commitment равен более дорогому directional opening stack: max(сумма Buy opening prices, сумма Sell opening prices) × qty, а не сумме обеих сторон. LONG/SHORT commitment включает initial directional inventory и adverse-side opening orders. Recommender, auto-snap, preflight, runtime caps, daily-loss fallback и outcome denominator используют одну модель. Для свечи с material high/low сравниваются O→H→L→C и O→L→H→C; если ledger, stop или PnL различаются, label unavailable. Kill-switch строго охватывает grid range и завершает ledger. Close→open gap, перескочивший kill-switch, не оценивается по недостижимой boundary price. Текущий контракт — grid_label_v13; первый запуск v1.0.32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minNotional, active resting-order count, one-way committed slots/notional, maximum directional exposure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использовать каноническое maximum one-way position: для NEUTRAL — более крупный Buy/Sell opening stack, для LONG/SHORT — initial inventory плюс adverse-side openings; total active-order count и безусловный grid_count не являются заменой.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