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t>Версия документа: 1.4.0 (выбор grid или single-position trend по доказанной risk-adjusted ожидаемой прибыльности; без отправки биржевых ордеров)</w:t>
      </w:r>
    </w:p>
    <w:p>
      <w:r>
        <w:t>Назначение: регламент чтения двух strategy families, решения strategy-profitability router и операторского подтверждения внешнего grid-плана либо одной directional trend-позиции. Документ не является инструкцией по автоматическому выставлению ордеров Bybit.</w:t>
      </w:r>
    </w:p>
    <w:p>
      <w:r>
        <w:t>Граница системы. Репозиторий является recommendation/audit service, not OMS/EMS. Он проверяет план по публичным Bybit metadata, текущей цене, funding и внутренним risk limits, но не выставляет ордера, не знает очередь, реальные partial fills, состояние аккаунта или фактическую доступность маржи. Статус executed означает созданный внутренний audit-instance, а не подтверждённое биржевое исполнение.</w:t>
      </w:r>
    </w:p>
    <w:p>
      <w:pPr>
        <w:pStyle w:val="Heading1"/>
        <w:spacing w:before="200" w:after="100"/>
      </w:pPr>
      <w:r>
        <w:t>Выбор стратегии и наблюдаемость v1.4.0</w:t>
      </w:r>
    </w:p>
    <w:p>
      <w:pPr>
        <w:pStyle w:val="ListBullet"/>
      </w:pPr>
      <w:r>
        <w:t>Для одного symbol и timestamp независимо оцениваются futures_grid и directional_trend. Их raw score не сравнивается: он имеет разную экономическую семантику.</w:t>
      </w:r>
    </w:p>
    <w:p>
      <w:pPr>
        <w:pStyle w:val="ListBullet"/>
      </w:pPr>
      <w:r>
        <w:t>Strategy-profitability router допускает модель только при bot-specific fitted calibrator, exact-policy fingerprint, положительной selected-policy и terminal-holdout денежной ожидаемости, положительных lower bounds и доступном expected shortfall.</w:t>
      </w:r>
    </w:p>
    <w:p>
      <w:pPr>
        <w:pStyle w:val="ListBullet"/>
      </w:pPr>
      <w:r>
        <w:t>futures_grid остаётся сеткой. Его long/short варианты — directional grid. directional_trend — одна long/short позиция с entry, TP и SL, без grid levels, усреднения и pyramiding.</w:t>
      </w:r>
    </w:p>
    <w:p>
      <w:pPr>
        <w:pStyle w:val="ListBullet"/>
      </w:pPr>
      <w:r>
        <w:t>Если utility одной стратегии доказанно выше, она становится операторским кандидатом. При недоказанной прибыльности или слишком малом преимуществе router выбирает НЕ ТОРГОВАТЬ. Проигравшая модель сохраняется как paired shadow_competitor для отдельного outcome и дальнейшего обучения.</w:t>
      </w:r>
    </w:p>
    <w:p>
      <w:pPr>
        <w:pStyle w:val="ListBullet"/>
      </w:pPr>
      <w:r>
        <w:t>Подтверждение directional_trend создаёт external_single_order_audit и directional-single-order-package-v1 для ручного или внешнего executor. Обязательные признаки: recommendation_only=true и exchange_order_submitted=false; сам сервис Bybit order не отправляет.</w:t>
      </w:r>
    </w:p>
    <w:p>
      <w:pPr>
        <w:pStyle w:val="Heading1"/>
      </w:pPr>
      <w:r>
        <w:t>First-touch модель directional trend v1.3.0</w:t>
      </w:r>
    </w:p>
    <w:p>
      <w:pPr>
        <w:pStyle w:val="ListBullet"/>
      </w:pPr>
      <w:r>
        <w:t>Trend-outcome хранит явный тип события: TP_FIRST, SL_FIRST, HORIZON_EXIT или AMBIGUOUS. TP_FIRST означает доказанное достижение TP раньше SL; прибыльный выход по времени остаётся HORIZON_EXIT и не переименовывается в TP_FIRST.</w:t>
      </w:r>
    </w:p>
    <w:p>
      <w:pPr>
        <w:pStyle w:val="ListBullet"/>
      </w:pPr>
      <w:r>
        <w:t>Если одна минутная свеча касается TP и SL либо порядок касаний недоказуем, наблюдение цензурируется. Оператор не должен вручную назначать ему успех или неуспех.</w:t>
      </w:r>
    </w:p>
    <w:p>
      <w:pPr>
        <w:pStyle w:val="ListBullet"/>
      </w:pPr>
      <w:r>
        <w:t>В деталях trend-кандидата отдельно проверяйте P(TP раньше SL), P(SL раньше TP), вероятность выхода по времени, first-touch EV и её нижнюю доверительную границу. Бинарная вероятность успеха сама по себе не разрешает сделку.</w:t>
      </w:r>
    </w:p>
    <w:p>
      <w:pPr>
        <w:pStyle w:val="ListBullet"/>
      </w:pPr>
      <w:r>
        <w:t>Trend допускается router-ом только когда консервативная нижняя оценка P(TP_FIRST) выше верхней оценки P(SL_FIRST), а first-touch EV и её lower bound положительны после комиссий, проскальзывания и adverse funding.</w:t>
      </w:r>
    </w:p>
    <w:p>
      <w:pPr>
        <w:pStyle w:val="ListBullet"/>
      </w:pPr>
      <w:r>
        <w:t>Статусы model unavailable, order uncertain, expectancy non-positive или AMBIGUOUS означают НЕ ТОРГОВАТЬ. Сервис по-прежнему не отправляет биржевой ордер.</w:t>
      </w:r>
    </w:p>
    <w:p>
      <w:pPr>
        <w:pStyle w:val="Heading1"/>
      </w:pPr>
      <w:r>
        <w:t>Сквозная наблюдаемость grid/trend v1.4.0</w:t>
      </w:r>
    </w:p>
    <w:p>
      <w:pPr>
        <w:pStyle w:val="ListBullet"/>
      </w:pPr>
      <w:r>
        <w:t>Окно «Детали» обязано показывать стратегию и её собственную торговую геометрию. Для futures_grid это reference, диапазон, число уровней и внешние защитные границы; для directional_trend — одна позиция, entry, TP и SL. Уровни одной стратегии запрещено выводить через формулы другой.</w:t>
      </w:r>
    </w:p>
    <w:p>
      <w:pPr>
        <w:pStyle w:val="ListBullet"/>
      </w:pPr>
      <w:r>
        <w:t>Сразу после публикации рекомендации система создаёт durable запись очереди исхода с точным сроком созревания. До истечения 12-часового горизонта в «Деталях» и «Здоровье» должно отображаться «ожидает горизонта», а не ложный ноль или отсутствие исхода.</w:t>
      </w:r>
    </w:p>
    <w:p>
      <w:pPr>
        <w:pStyle w:val="ListBullet"/>
      </w:pPr>
      <w:r>
        <w:t>В «Исходах» проверяйте bot_type и канонический event_type. Для grid используется GRID_OUTCOME; для trend — TP_FIRST, SL_FIRST или HORIZON_EXIT. AMBIGUOUS хранится только как цензурированная диагностика и не должен появляться как размеченный outcome.</w:t>
      </w:r>
    </w:p>
    <w:p>
      <w:pPr>
        <w:pStyle w:val="ListBullet"/>
      </w:pPr>
      <w:r>
        <w:t>В «Журнале» каждая запись должна явно содержать strategy family, symbol, direction, recommendation status и model version. Без strategy family одинаковые машинные коды grid и trend нельзя интерпретировать безопасно.</w:t>
      </w:r>
    </w:p>
    <w:p>
      <w:pPr>
        <w:pStyle w:val="ListBullet"/>
      </w:pPr>
      <w:r>
        <w:t>В «Здоровье» очереди, созревшие исходы, calibrator readiness и семантическая целостность показываются отдельно для futures_grid и directional_trend. Ошибки orphan outcome, неверного root, отсутствующей observability или несовместимого event_type являются блокирующей диагностикой, а не косметическим предупреждением.</w:t>
      </w:r>
    </w:p>
    <w:p>
      <w:pPr>
        <w:pStyle w:val="ListBullet"/>
      </w:pPr>
      <w:r>
        <w:t>График истории строится только по сохранённой на момент публикации геометрии. Пропущенный TP, SL, диапазон или защитная граница образуют разрыв линии; интерфейс не имеет права достраивать историю по текущим биржевым metadata. Multi-point история должна строиться без JavaScript-ошибок для обеих стратегий.</w:t>
      </w:r>
    </w:p>
    <w:p>
      <w:pPr>
        <w:pStyle w:val="ListBullet"/>
      </w:pPr>
      <w:r>
        <w:t>Сообщения «ошибка сети», «ошибка данных» и «ошибка построения» различаются. Пустой ответ API, повреждённый JSON или исключение renderer должны быть видимы оператору и не маскироваться пустой таблицей.</w:t>
      </w:r>
    </w:p>
    <w:p>
      <w:pPr>
        <w:pStyle w:val="Heading1"/>
        <w:spacing w:before="200" w:after="100"/>
      </w:pPr>
      <w:r>
        <w:rPr>
          <w:b/>
          <w:sz w:val="32"/>
        </w:rPr>
        <w:t>Свежесть рекомендации и окно исхода v1.0.78</w:t>
      </w:r>
    </w:p>
    <w:p>
      <w:pPr>
        <w:pStyle w:val="ListBullet"/>
      </w:pPr>
      <w:r>
        <w:rPr>
          <w:sz w:val="21"/>
        </w:rPr>
        <w:t>RECO_TTL_SEC — это срок операторской актуальности конкретной publication-chain. После его истечения старую рекомендацию исполнять нельзя; новый подтверждённый сигнал может быть опубликован как свежая рекомендация.</w:t>
      </w:r>
    </w:p>
    <w:p>
      <w:pPr>
        <w:pStyle w:val="ListBullet"/>
      </w:pPr>
      <w:r>
        <w:rPr>
          <w:sz w:val="21"/>
        </w:rPr>
        <w:t>12-часовой label horizon — отдельное статистическое окно псевдо-позиции futures_grid. Пока оно не завершилось, свежая операторская публикация может иметь новый publication_root_rec_id, но сохраняет прежний outcome_root_rec_id и не создаёт дополнительный обучающий исход.</w:t>
      </w:r>
    </w:p>
    <w:p>
      <w:pPr>
        <w:pStyle w:val="ListBullet"/>
      </w:pPr>
      <w:r>
        <w:rPr>
          <w:sz w:val="21"/>
        </w:rPr>
        <w:t>12 часов не считаются доказанно оптимальными. Переход на 6 или 24 часа требует отдельного versioned purged walk-forward сравнения; простое изменение константы меняет target, срок готовности метки, embargo и funding exposure.</w:t>
      </w:r>
    </w:p>
    <w:p>
      <w:pPr>
        <w:pStyle w:val="ListBullet"/>
      </w:pPr>
      <w:r>
        <w:rPr>
          <w:sz w:val="21"/>
        </w:rPr>
        <w:t>В истории рекомендаций различайте «операторскую цепочку» и «независимое окно исхода». Несколько свежих публикаций могут относиться к одному outcome-window — это штатно и предотвращает псевдорепликацию данных.</w:t>
      </w:r>
    </w:p>
    <w:p>
      <w:pPr>
        <w:pStyle w:val="Heading1"/>
        <w:spacing w:before="200" w:after="100"/>
      </w:pPr>
      <w:r>
        <w:rPr>
          <w:b/>
          <w:sz w:val="32"/>
        </w:rPr>
        <w:t>Проверка здоровья системы v1.0.71</w:t>
      </w:r>
    </w:p>
    <w:p>
      <w:pPr>
        <w:pStyle w:val="ListBullet"/>
      </w:pPr>
      <w:r>
        <w:rPr>
          <w:sz w:val="21"/>
        </w:rP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rPr>
          <w:sz w:val="21"/>
        </w:rP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rPr>
          <w:sz w:val="21"/>
        </w:rP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rPr>
          <w:sz w:val="21"/>
        </w:rP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spacing w:before="200" w:after="100"/>
      </w:pPr>
      <w:r>
        <w:rPr>
          <w:b/>
          <w:sz w:val="32"/>
        </w:rPr>
        <w:t>Как читать русский интерфейс v1.0.64</w:t>
      </w:r>
    </w:p>
    <w:p>
      <w:pPr/>
      <w:r>
        <w:rPr>
          <w:sz w:val="21"/>
        </w:rP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rPr>
          <w:sz w:val="21"/>
        </w:rPr>
        <w:t>Покупка (рост) — направление, которое выигрывает при росте цены; внутреннее значение long.</w:t>
      </w:r>
    </w:p>
    <w:p>
      <w:pPr>
        <w:pStyle w:val="ListBullet"/>
      </w:pPr>
      <w:r>
        <w:rPr>
          <w:sz w:val="21"/>
        </w:rPr>
        <w:t>Продажа (снижение) — направление, которое выигрывает при снижении цены; внутреннее значение short.</w:t>
      </w:r>
    </w:p>
    <w:p>
      <w:pPr>
        <w:pStyle w:val="ListBullet"/>
      </w:pPr>
      <w:r>
        <w:rPr>
          <w:sz w:val="21"/>
        </w:rPr>
        <w:t>Нейтральная сетка — торговля внутри диапазона без единственной направленной цели прибыли; внутреннее значение neutral.</w:t>
      </w:r>
    </w:p>
    <w:p>
      <w:pPr>
        <w:pStyle w:val="ListBullet"/>
      </w:pPr>
      <w:r>
        <w:rPr>
          <w:sz w:val="21"/>
        </w:rP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rPr>
          <w:sz w:val="21"/>
        </w:rP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rPr>
          <w:sz w:val="21"/>
        </w:rP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rPr>
          <w:sz w:val="21"/>
        </w:rPr>
        <w:t>Предзапусковая проверка — последняя проверка цены, диапазона, количества, маржи и риска перед операторским подтверждением.</w:t>
      </w:r>
    </w:p>
    <w:p>
      <w:pPr>
        <w:pStyle w:val="ListBullet"/>
      </w:pPr>
      <w:r>
        <w:rPr>
          <w:sz w:val="21"/>
        </w:rPr>
        <w:t>Значок вопроса открывает краткую подсказку. Полные числа, пороги, исходные сообщения и машинные коды находятся в окне «Детали».</w:t>
      </w:r>
    </w:p>
    <w:p>
      <w:pPr>
        <w:pStyle w:val="ListBullet"/>
      </w:pPr>
      <w:r>
        <w:rPr>
          <w:sz w:val="21"/>
        </w:rP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rPr>
          <w:sz w:val="21"/>
        </w:rP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spacing w:before="200" w:after="100"/>
      </w:pPr>
      <w:r>
        <w:rPr>
          <w:b/>
          <w:sz w:val="32"/>
        </w:rPr>
        <w:t>Policy-conditioned evidence contract</w:t>
      </w:r>
    </w:p>
    <w:p>
      <w:pPr/>
      <w:r>
        <w:rPr>
          <w:sz w:val="21"/>
        </w:rP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paired exploration разделены. Статистические calibration gates не должны делать сбор evidence логически невозможным; hard data, market, risk и economic veto по-прежнему исключают candidate root. Не выбранный router-ом кандидат может сохраняться только как неисполняемый shadow_competitor.</w:t>
      </w:r>
    </w:p>
    <w:p>
      <w:pPr/>
      <w:r>
        <w:rPr>
          <w:sz w:val="21"/>
        </w:rP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spacing w:before="200" w:after="100"/>
      </w:pPr>
      <w:r>
        <w:rPr>
          <w:b/>
          <w:sz w:val="32"/>
        </w:rPr>
        <w:t>История исходов и текущая model lineage</w:t>
      </w:r>
    </w:p>
    <w:p>
      <w:r>
        <w:rPr>
          <w:sz w:val="21"/>
        </w:rP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rPr>
          <w:sz w:val="21"/>
        </w:rP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spacing w:before="200" w:after="100"/>
      </w:pPr>
      <w:r>
        <w:rPr>
          <w:b/>
          <w:sz w:val="32"/>
        </w:rPr>
        <w:t>Граница исторического моделирования</w:t>
      </w:r>
    </w:p>
    <w:p>
      <w:pPr/>
      <w:r>
        <w:rPr>
          <w:sz w:val="21"/>
        </w:rP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t>В reasons.simulation_scope исторического proxy должны быть: mode=historical_proxy_only, runtime_order_submission=false, runtime_execution_validation=not_performed, exchange_fill_attestation=not_available. Для operator audit v1.2.0 отдельно хранится validated execution package, но биржевое исполнение всё равно не подтверждается.</w:t>
      </w:r>
    </w:p>
    <w:p>
      <w:pPr/>
      <w:r>
        <w:rPr>
          <w:sz w:val="21"/>
        </w:rP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spacing w:before="200" w:after="100"/>
      </w:pPr>
      <w:r>
        <w:rPr>
          <w:b/>
          <w:sz w:val="32"/>
        </w:rPr>
        <w:t>Объёмное подтверждение proxy fills</w:t>
      </w:r>
    </w:p>
    <w:p>
      <w:pPr/>
      <w:r>
        <w:rPr>
          <w:sz w:val="21"/>
        </w:rP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rPr>
          <w:sz w:val="21"/>
        </w:rP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rPr>
          <w:sz w:val="21"/>
        </w:rP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spacing w:before="160" w:after="80"/>
      </w:pPr>
      <w:r>
        <w:rPr>
          <w:b/>
          <w:sz w:val="26"/>
        </w:rPr>
        <w:t>Ликвидность на границе horizon и при защитном закрытии</w:t>
      </w:r>
    </w:p>
    <w:p>
      <w:r>
        <w:rPr>
          <w:sz w:val="21"/>
        </w:rP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rPr>
          <w:sz w:val="21"/>
        </w:rP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rPr>
          <w:sz w:val="21"/>
        </w:rP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spacing w:before="200" w:after="100"/>
      </w:pPr>
      <w:r>
        <w:rPr>
          <w:b/>
          <w:sz w:val="32"/>
        </w:rPr>
        <w:t>Консервативная цена аварийная граница выхода</w:t>
      </w:r>
    </w:p>
    <w:p>
      <w:pPr/>
      <w:r>
        <w:rPr>
          <w:sz w:val="21"/>
        </w:rP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rPr>
          <w:sz w:val="21"/>
        </w:rP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rPr>
          <w:sz w:val="21"/>
        </w:rP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spacing w:before="200" w:after="100"/>
      </w:pPr>
      <w:r>
        <w:rPr>
          <w:b/>
          <w:sz w:val="32"/>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t>Для operator lifecycle поддерживаются Bybit Linear USDT futures_grid и выбранный router-ом directional_trend. Grid требует arithmetic grid contract; trend требует single-position TP/SL contract и isolated margin. Spot, inverse, options и non-USDT блокируются. Реальная отправка order остаётся обязанностью внешнего/manual executor.</w:t>
      </w:r>
    </w:p>
    <w:p>
      <w:pPr>
        <w:pStyle w:val="ListBullet"/>
      </w:pPr>
      <w:r>
        <w:rPr>
          <w:sz w:val="21"/>
        </w:rP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spacing w:before="200" w:after="100"/>
      </w:pPr>
      <w:r>
        <w:rPr>
          <w:b/>
          <w:sz w:val="32"/>
        </w:rPr>
        <w:t>Устойчивость сигнала и идентичность рекомендации</w:t>
      </w:r>
    </w:p>
    <w:p>
      <w:pPr/>
      <w:r>
        <w:t>Actionable strategy допускается только после требуемых последовательно закрытых evidence snapshots. Повторный цикл на той же закрытой свече не является новым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rPr>
          <w:sz w:val="21"/>
        </w:rP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spacing w:before="200" w:after="100"/>
      </w:pPr>
      <w:r>
        <w:rPr>
          <w:rFonts w:ascii="Arial" w:hAnsi="Arial"/>
          <w:b/>
          <w:sz w:val="32"/>
        </w:rPr>
        <w:t>Метрики принятия решения v1.0.63</w:t>
      </w:r>
    </w:p>
    <w:p>
      <w:pPr/>
      <w:r>
        <w:rPr>
          <w:rFonts w:ascii="Arial" w:hAnsi="Arial"/>
          <w:sz w:val="21"/>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rPr>
          <w:sz w:val="21"/>
        </w:rP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rPr>
          <w:sz w:val="21"/>
        </w:rP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rPr>
          <w:sz w:val="21"/>
        </w:rP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rPr>
          <w:sz w:val="21"/>
        </w:rP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spacing w:before="200" w:after="100"/>
      </w:pPr>
      <w:r>
        <w:rPr>
          <w:b/>
          <w:sz w:val="32"/>
        </w:rPr>
        <w:t>Purged OOF для feature LogReg</w:t>
      </w:r>
    </w:p>
    <w:p>
      <w:r>
        <w:rPr>
          <w:sz w:val="21"/>
        </w:rP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rPr>
          <w:sz w:val="21"/>
        </w:rP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rPr>
          <w:sz w:val="21"/>
        </w:rP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rPr>
          <w:sz w:val="21"/>
        </w:rP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spacing w:before="200" w:after="100"/>
      </w:pPr>
      <w:r>
        <w:rPr>
          <w:b/>
          <w:sz w:val="32"/>
        </w:rPr>
        <w:t>Независимость временных evidence-кластеров</w:t>
      </w:r>
    </w:p>
    <w:p>
      <w:r>
        <w:rPr>
          <w:sz w:val="21"/>
        </w:rP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rPr>
          <w:sz w:val="21"/>
        </w:rP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НЕ ТОРГОВАТЬ с PROXY_MONETARY_EXPECTANCY_UNPROVEN. Высокий score, win rate или десятки коррелированных символов не являются основанием для обхода.</w:t>
      </w:r>
    </w:p>
    <w:p>
      <w:pPr>
        <w:pStyle w:val="Heading1"/>
        <w:spacing w:before="200" w:after="100"/>
      </w:pPr>
      <w:r>
        <w:rPr>
          <w:b/>
          <w:sz w:val="32"/>
        </w:rPr>
        <w:t>Денежное ожидание калибровки</w:t>
      </w:r>
    </w:p>
    <w:p>
      <w:pPr/>
      <w:r>
        <w:rPr>
          <w:sz w:val="21"/>
        </w:rP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grid или trend допускается только когда его собственная exact-policy matured-return выборка имеет достаточный Kish effective sample size и положительную одностороннюю 95% Student-t lower bound, а terminal holdout подтверждает денежную политику. Каждый matured policy root входит в denominator как labeled, censored или unresolved. Censoring/unresolved evidence нельзя скрывать ради допуска.</w:t>
      </w:r>
    </w:p>
    <w:p>
      <w:pPr/>
      <w:r>
        <w:rPr>
          <w:sz w:val="21"/>
        </w:rP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spacing w:before="200" w:after="100"/>
      </w:pPr>
      <w:r>
        <w:rPr>
          <w:b/>
          <w:sz w:val="32"/>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rPr>
          <w:sz w:val="21"/>
        </w:rP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spacing w:before="200" w:after="100"/>
      </w:pPr>
      <w:r>
        <w:t>Grid exits и single-position trend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spacing w:before="200" w:after="100"/>
      </w:pPr>
      <w:r>
        <w:t>Proxy outcome, paired competitor и раздельная калибровка</w:t>
      </w:r>
    </w:p>
    <w:p>
      <w:pPr>
        <w:pStyle w:val="ListBullet"/>
      </w:pPr>
      <w:r>
        <w:rPr>
          <w:sz w:val="21"/>
        </w:rP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21"/>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rPr>
          <w:sz w:val="21"/>
        </w:rPr>
        <w:t>Outcome contract остаётся grid_label_v26. Исторические outcomes сохраняются как аудит. Текущая recommendation lineage bybit-taxonomy-v11-separated-operator-outcome-lineage принимает только verified exact-policy outcomes; bot/global calibrators используют v21. Direction v14 использует horizon-price target, но его Platt audit-only до отдельного chronological skill gate и не меняет decision feature.</w:t>
      </w:r>
    </w:p>
    <w:p>
      <w:pPr>
        <w:pStyle w:val="ListBullet"/>
      </w:pPr>
      <w:r>
        <w:rPr>
          <w:sz w:val="21"/>
        </w:rP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spacing w:before="200" w:after="100"/>
      </w:pPr>
      <w:r>
        <w:rPr>
          <w:b/>
          <w:sz w:val="32"/>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rPr>
          <w:sz w:val="21"/>
        </w:rP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spacing w:before="200" w:after="100"/>
      </w:pPr>
      <w:r>
        <w:rPr>
          <w:b/>
          <w:sz w:val="32"/>
        </w:rPr>
        <w:t>НЕ ТОРГОВАТЬ / BLOCKED условия</w:t>
      </w:r>
    </w:p>
    <w:p>
      <w:pPr>
        <w:pStyle w:val="ListBullet"/>
      </w:pPr>
      <w:r>
        <w:rPr>
          <w:sz w:val="21"/>
        </w:rPr>
        <w:t>Hard blocked: MEAN_REVERSION_EVIDENCE_INSUFFICIENT, INVALID_MARKET_REFERENCE_PRICE и иные data/risk/model failures. Strategy no_trade: MEAN_REVERSION_EDGE_UNCONFIRMED либо непрохождение score/confidence/economics.</w:t>
      </w:r>
    </w:p>
    <w:p>
      <w:pPr>
        <w:pStyle w:val="ListBullet"/>
      </w:pPr>
      <w:r>
        <w:rPr>
          <w:sz w:val="21"/>
        </w:rPr>
        <w:t>Устаревшая operator publication-chain, stale market data, live ticker вне range/аварийной границы выхода, отсутствующая пара bid/ask, spread &gt;14 bps, recurring grid edge &lt;2 bps или gross/fee coverage &lt;=1,10x. Истечение operator TTL блокирует запуск старой рекомендации, но не создаёт новый независимый outcome-root до конца label horizon.</w:t>
      </w:r>
    </w:p>
    <w:p>
      <w:pPr>
        <w:pStyle w:val="ListBullet"/>
      </w:pPr>
      <w:r>
        <w:rPr>
          <w:sz w:val="21"/>
        </w:rP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rPr>
          <w:sz w:val="21"/>
        </w:rP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spacing w:before="200" w:after="100"/>
      </w:pPr>
      <w:r>
        <w:rPr>
          <w:b/>
          <w:sz w:val="32"/>
        </w:rPr>
        <w:t>Практическая последовательность</w:t>
      </w:r>
    </w:p>
    <w:p>
      <w:r>
        <w:rPr>
          <w:sz w:val="21"/>
        </w:rPr>
        <w:t>1. Проверить status/effective_status: blocked означает жёсткий data/risk/model отказ; no_trade означает неподтверждённый тезис или статистический/economic gate.</w:t>
      </w:r>
    </w:p>
    <w:p>
      <w:r>
        <w:rPr>
          <w:sz w:val="21"/>
        </w:rPr>
        <w:t>2. Сверить полноту исторических данных, features_ref_ts, horizon, cost/платёж финансирования assumptions, simulation_scope и денежные/временные diagnostics.</w:t>
      </w:r>
    </w:p>
    <w:p>
      <w:r>
        <w:rPr>
          <w:sz w:val="21"/>
        </w:rPr>
        <w:t>3. Не интерпретировать trade_plan как готовый биржевой payload: это геометрия исторической симуляции.</w:t>
      </w:r>
    </w:p>
    <w:p>
      <w:r>
        <w:rPr>
          <w:sz w:val="21"/>
        </w:rP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либо проигравший router-кандидат может получить outcome_policy.sample_role=shadow_no_trade/shadow_competitor и после horizon войти в соответствующую исследовательскую proxy-выборку. Это не реальный запуск и не exchange fill.</w:t>
      </w:r>
    </w:p>
    <w:p>
      <w:pPr>
        <w:pStyle w:val="ListBullet"/>
      </w:pPr>
      <w:r>
        <w:t>Необученный, цензурированный или не подтвердивший terminal held-out skill bot-specific calibrator означает НЕ ТОРГОВАТЬ: raw confidence audit-only. Grid и trend проходят эти условия отдельно; положительная модель одной стратегии не разрешает использовать неподтверждённую другую. Подтверждённый negative expectancy остаётся консервативным veto.</w:t>
      </w:r>
    </w:p>
    <w:p>
      <w:pPr>
        <w:pStyle w:val="ListBullet"/>
      </w:pPr>
      <w:r>
        <w:rPr>
          <w:sz w:val="21"/>
        </w:rP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spacing w:before="160" w:after="80"/>
      </w:pPr>
      <w:r>
        <w:rPr>
          <w:b/>
          <w:sz w:val="26"/>
        </w:rPr>
        <w:t>Нет положительных модельных рекомендаций</w:t>
      </w:r>
    </w:p>
    <w:p>
      <w:pPr>
        <w:pStyle w:val="Heading1"/>
        <w:spacing w:before="200" w:after="100"/>
      </w:pPr>
      <w:r>
        <w:rPr>
          <w:b/>
          <w:sz w:val="32"/>
        </w:rPr>
        <w:t>Опциональная внешняя post-hoc сверка PnL</w:t>
      </w:r>
    </w:p>
    <w:p>
      <w:pPr>
        <w:pStyle w:val="ListBullet"/>
      </w:pPr>
      <w:r>
        <w:rPr>
          <w:sz w:val="21"/>
        </w:rP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rPr>
          <w:sz w:val="21"/>
        </w:rP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rPr>
          <w:sz w:val="21"/>
        </w:rP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rPr>
          <w:sz w:val="21"/>
        </w:rP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spacing w:before="200" w:after="100"/>
      </w:pPr>
      <w:r>
        <w:rPr>
          <w:b/>
          <w:sz w:val="32"/>
        </w:rPr>
        <w:t>Опциональная terminal finalization внешнего evidence</w:t>
      </w:r>
    </w:p>
    <w:p>
      <w:pPr>
        <w:pStyle w:val="ListBullet"/>
      </w:pPr>
      <w:r>
        <w:rPr>
          <w:sz w:val="21"/>
        </w:rP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rPr>
          <w:sz w:val="21"/>
        </w:rPr>
        <w:t>Проверяйте поля total_pnl_finalized=true, position_flat=true и net_position_qty около нуля. validation_ineligible_reasons объясняет отсутствие eligibility.</w:t>
      </w:r>
    </w:p>
    <w:p>
      <w:pPr>
        <w:pStyle w:val="ListBullet"/>
      </w:pPr>
      <w:r>
        <w:rPr>
          <w:sz w:val="21"/>
        </w:rPr>
        <w:t>Stopped status сам по себе не означает завершённый PnL. Любой unmatched Buy/Sell quantity означает residual inventory и исключает bot из live-validation.</w:t>
      </w:r>
    </w:p>
    <w:p>
      <w:pPr>
        <w:pStyle w:val="Heading1"/>
        <w:spacing w:before="200" w:after="100"/>
      </w:pPr>
      <w:r>
        <w:rPr>
          <w:b/>
          <w:sz w:val="32"/>
        </w:rPr>
        <w:t>Опциональный stop-критерий по внешнему evidence</w:t>
      </w:r>
    </w:p>
    <w:p>
      <w:pPr>
        <w:pStyle w:val="ListBullet"/>
      </w:pPr>
      <w:r>
        <w:t>При отдельно включённой post-hoc validation в gate входят только terminally finalized evidence той же model/policy lineage. Grid identity: bybit-taxonomy-v11-separated-operator-outcome-lineage; historical trend contract identity: bybit-taxonomy-v11-separated-operator-outcome-lineage+directional-trend-v1. Ключи logreg_futures_grid_v21 и logreg_directional_trend_v2 не объединяются. Слово shadow в историческом trend contract id не является runtime permission.</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spacing w:before="200" w:after="100"/>
      </w:pPr>
      <w:r>
        <w:rPr>
          <w:b/>
          <w:sz w:val="32"/>
        </w:rPr>
        <w:t>Историческая справка v1.0.48: обязательная exchange geometry (отменена в v1.0.51)</w:t>
      </w:r>
    </w:p>
    <w:p>
      <w:r>
        <w:rPr>
          <w:sz w:val="21"/>
        </w:rP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Диапазон, reference, аварийная граница выхода и grid step должны быть кратны tick_size.</w:t>
      </w:r>
    </w:p>
    <w:p>
      <w:pPr>
        <w:pStyle w:val="ListBullet"/>
        <w:spacing w:after="60"/>
      </w:pPr>
      <w:r>
        <w:rPr>
          <w:sz w:val="21"/>
        </w:rPr>
        <w:t>Количество на ордер должно быть кратно qty_step и не ниже min_order_qty/min_notional.</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Точное касание свечой лимитного уровня не считается исполнением: Buy требует движения ниже уровня, Sell - выше.</w:t>
      </w:r>
    </w:p>
    <w:p>
      <w:pPr>
        <w:pStyle w:val="ListBullet"/>
        <w:spacing w:after="60"/>
      </w:pPr>
      <w:r>
        <w:rPr>
          <w:sz w:val="21"/>
        </w:rPr>
        <w:t>Даже strict trade-through остаётся proxy и не доказывает queue priority, объём и partial fills.</w:t>
      </w:r>
    </w:p>
    <w:p>
      <w:pPr>
        <w:pStyle w:val="ListBullet"/>
        <w:spacing w:after="60"/>
      </w:pPr>
      <w:r>
        <w:rPr>
          <w:sz w:val="21"/>
        </w:rPr>
        <w:t>После обновления v1.0.53 старые proxy outcomes/calibrators очищаются; ожидайте новую grid_label_v26 выборку.</w:t>
      </w:r>
    </w:p>
    <w:p>
      <w:r>
        <w:rPr>
          <w:sz w:val="21"/>
        </w:rPr>
        <w:t>Операторское правило v1.0.53: не трактовать рекомендацию как биржевой ордер или подтверждение runtime-исполнимости.</w:t>
      </w:r>
    </w:p>
    <w:p>
      <w:pPr>
        <w:pStyle w:val="Heading1"/>
        <w:spacing w:before="200" w:after="100"/>
      </w:pPr>
      <w:r>
        <w:rPr>
          <w:b/>
          <w:sz w:val="32"/>
        </w:rPr>
        <w:t>Обновление v1.0.50: время активации replacement-ордера</w:t>
      </w:r>
    </w:p>
    <w:p>
      <w:pPr>
        <w:pStyle w:val="ListBullet"/>
      </w:pPr>
      <w:r>
        <w:rPr>
          <w:sz w:val="21"/>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1"/>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1"/>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1"/>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rPr>
          <w:sz w:val="21"/>
        </w:rPr>
        <w:t>Даже межсвечное proxy-исполнение не доказывает queue priority, partial fills или фактическую задержку; это ограниченная историческая модель.</w:t>
      </w:r>
    </w:p>
    <w:p>
      <w:pPr>
        <w:pStyle w:val="Heading2"/>
        <w:spacing w:before="160" w:after="80"/>
      </w:pPr>
      <w:r>
        <w:rPr>
          <w:rFonts w:ascii="Arial" w:hAnsi="Arial"/>
          <w:b/>
          <w:sz w:val="26"/>
        </w:rPr>
        <w:t>Восстановление исходов при включённом LLM (v1.0.62)</w:t>
      </w:r>
    </w:p>
    <w:p>
      <w:r>
        <w:t>LLM reviewer проверяет потенциально исполнимого победителя router. Не выбранные/no_trade paired roots могут рассчитывать proxy outcome без LLM только по явно разрешённому исследовательскому контракту; это не делает их исполнимыми. Actionable winner при включённом LLM остаётся fail-closed до завершённого verdict.</w:t>
      </w:r>
    </w:p>
    <w:p>
      <w:r>
        <w:rPr>
          <w:rFonts w:ascii="Arial" w:hAnsi="Arial"/>
          <w:sz w:val="21"/>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1"/>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spacing w:before="200" w:after="100"/>
      </w:pPr>
      <w:r>
        <w:rPr>
          <w:b/>
          <w:sz w:val="32"/>
        </w:rPr>
        <w:t>Дополнение версии 1.0.69: проверка после перезапуска</w:t>
      </w:r>
    </w:p>
    <w:p>
      <w:r>
        <w:rPr>
          <w:sz w:val="21"/>
        </w:rP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rPr>
          <w:sz w:val="21"/>
        </w:rP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rPr>
          <w:sz w:val="21"/>
        </w:rP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rPr>
          <w:sz w:val="21"/>
        </w:rP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p>
      <w:pPr>
        <w:pStyle w:val="Heading1"/>
        <w:spacing w:before="200" w:after="100"/>
      </w:pPr>
      <w:r>
        <w:rPr>
          <w:b/>
          <w:sz w:val="32"/>
        </w:rPr>
        <w:t>Безопасный перезапуск и передача блокировок v1.0.71</w:t>
      </w:r>
    </w:p>
    <w:p>
      <w:pPr>
        <w:pStyle w:val="ListBullet"/>
      </w:pPr>
      <w:r>
        <w:rPr>
          <w:sz w:val="21"/>
        </w:rPr>
        <w:t>При штатном завершении приложения фоновые контуры освобождают только принадлежащие текущему процессу блокировки. Новый процесс не должен ожидать полный срок блокировки предыдущего PID.</w:t>
      </w:r>
    </w:p>
    <w:p>
      <w:pPr>
        <w:pStyle w:val="ListBullet"/>
      </w:pPr>
      <w:r>
        <w:rPr>
          <w:sz w:val="21"/>
        </w:rPr>
        <w:t>Состояние «передача управления» означает штатное ожидание безопасного перехвата блокировки. Оно не означает свежесть рынка и не разрешает торговлю по устаревшим данным.</w:t>
      </w:r>
    </w:p>
    <w:p>
      <w:pPr>
        <w:pStyle w:val="ListBullet"/>
      </w:pPr>
      <w:r>
        <w:rPr>
          <w:sz w:val="21"/>
        </w:rPr>
        <w:t>В окне здоровья проверяйте владельца блокировки сборщика, срок блокировки и время до разрешённого перехвата. Не выполняйте повторные перезапуски, пока идёт штатная передача управления.</w:t>
      </w:r>
    </w:p>
    <w:p>
      <w:pPr>
        <w:pStyle w:val="ListBullet"/>
      </w:pPr>
      <w:r>
        <w:rPr>
          <w:sz w:val="21"/>
        </w:rPr>
        <w:t>После передачи должны одновременно появиться: блокировка принадлежит текущему процессу, цикл сборщика текущего процесса — «Да», публикация текущего процесса — «Да», устаревших инструментов — 0.</w:t>
      </w:r>
    </w:p>
    <w:p>
      <w:pPr>
        <w:pStyle w:val="Heading1"/>
        <w:spacing w:before="200" w:after="100"/>
      </w:pPr>
      <w:r>
        <w:rPr>
          <w:b/>
          <w:sz w:val="32"/>
        </w:rPr>
        <w:t>Как читать журнал исходов v1.0.76</w:t>
      </w:r>
    </w:p>
    <w:p>
      <w:pPr>
        <w:pStyle w:val="ListBullet"/>
      </w:pPr>
      <w:r>
        <w:rPr>
          <w:sz w:val="21"/>
        </w:rPr>
        <w:t>В журнале отдельно показаны «Исход по правилам стратегии», «Расчётный net proxy P&amp;L» и «Причина исхода». Эти поля нельзя трактовать как одно и то же.</w:t>
      </w:r>
    </w:p>
    <w:p>
      <w:pPr>
        <w:pStyle w:val="ListBullet"/>
      </w:pPr>
      <w:r>
        <w:rPr>
          <w:sz w:val="21"/>
        </w:rPr>
        <w:t>Положительный net proxy P&amp;L при «Неуспех · kill-switch» означает: сетка ранее накопила прибыль, но затем нарушила защитную границу. По контракту grid_label_v26 такой terminal outcome остаётся неуспешным независимо от знака P&amp;L.</w:t>
      </w:r>
    </w:p>
    <w:p>
      <w:pPr>
        <w:pStyle w:val="ListBullet"/>
      </w:pPr>
      <w:r>
        <w:rPr>
          <w:sz w:val="21"/>
        </w:rPr>
        <w:t>Для новых outcomes колонка причины показывает сторону и цену kill-switch и наблюдавшийся экстремум. Legacy-строки без terminal diagnostics не реконструируются предположением.</w:t>
      </w:r>
    </w:p>
    <w:p>
      <w:pPr>
        <w:pStyle w:val="ListBullet"/>
      </w:pPr>
      <w:r>
        <w:rPr>
          <w:sz w:val="21"/>
        </w:rPr>
        <w:t>«Неизвестно» и «—» означают invalid/missing numeric contract. Boolean, пустые строки, NaN и Infinity не должны интерпретироваться как 1, 0 или 0%.</w:t>
      </w:r>
    </w:p>
    <w:p>
      <w:pPr>
        <w:pStyle w:val="ListBullet"/>
      </w:pPr>
      <w:r>
        <w:rPr>
          <w:sz w:val="21"/>
        </w:rPr>
        <w:t>Машинные коды действий, причин и идентификаторы рекомендаций сохраняются без перевода. Рядом выводится связное русское пояснение.</w:t>
      </w:r>
    </w:p>
    <w:p>
      <w:pPr>
        <w:pStyle w:val="ListBullet"/>
      </w:pPr>
      <w:r>
        <w:rPr>
          <w:sz w:val="21"/>
        </w:rPr>
        <w:t>OUTCOME_SKIP_INVALID_GRID_CONTRACT означает, что результат нельзя доказательно восстановить по доступным OHLCV-данным; это терминальное fail-closed цензурирование.</w:t>
      </w:r>
    </w:p>
    <w:p>
      <w:pPr>
        <w:pStyle w:val="ListBullet"/>
      </w:pPr>
      <w:r>
        <w:rPr>
          <w:sz w:val="21"/>
        </w:rPr>
        <w:t>intrabar_extreme_order_unobservable означает неизвестный порядок касаний цен внутри одной свечи. Система не назначает прибыль или убыток по предположению.</w:t>
      </w:r>
    </w:p>
    <w:p>
      <w:pPr>
        <w:pStyle w:val="ListBullet"/>
      </w:pPr>
      <w:r>
        <w:rPr>
          <w:sz w:val="21"/>
        </w:rPr>
        <w:t>Недостаточный объём свечи означает, что моделируемое исполнение требуемого количества нельзя подтвердить. Ослаблять эту проверку вручную запрещено.</w:t>
      </w:r>
    </w:p>
    <w:sectPr w:rsidR="00FC693F" w:rsidRPr="0006063C" w:rsidSect="00034616">
      <w:headerReference w:type="default" r:id="rId13"/>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v1.4.0</dc:title>
  <dc:subject>Strategy-native grid/trend observability, first-touch outcomes and recommendation/audit workflow</dc:subject>
  <dc:creator>python-docx</dc:creator>
  <cp:keywords>Bybit, futures_grid, directional_trend, outcomes, observability, first-touch, operator UI</cp:keywords>
  <dc:description>Updated 2026-07-19 for v1.4.0 strategy observability and UI integrity.</dc:description>
  <cp:lastModifiedBy/>
  <cp:revision>1</cp:revision>
  <dcterms:created xsi:type="dcterms:W3CDTF">2013-12-23T23:15:00Z</dcterms:created>
  <dcterms:modified xsi:type="dcterms:W3CDTF">2013-12-23T23:15:00Z</dcterms:modified>
  <cp:category/>
  <cp:version>1.0.17</cp:version>
</cp:coreProperties>
</file>