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pPr/>
      <w:r>
        <w:rPr>
          <w:sz w:val="19"/>
        </w:rPr>
        <w:t>Версия документа: 1.0.31 (quantity-aware grid ledger and gap-stop integrity).</w:t>
      </w:r>
    </w:p>
    <w:p>
      <w:r>
        <w:rPr>
          <w:sz w:val="21"/>
        </w:rP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  <w:sz w:val="21"/>
        </w:rPr>
        <w:t xml:space="preserve">Граница системы. </w:t>
      </w:r>
      <w:r>
        <w:rPr>
          <w:sz w:val="21"/>
        </w:rP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rPr>
          <w:sz w:val="21"/>
        </w:rPr>
        <w:t>Любой blocking/critical preflight означает NO TRADE.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rPr>
          <w:sz w:val="21"/>
        </w:rP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 Поле expected_rr в UI отображается как «Прокси capture/risk»: это не фактическое отношение прибыли к убытку.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rPr>
          <w:sz w:val="21"/>
        </w:rPr>
        <w:t>MEAN_REVERSION_EVIDENCE_INSUFFICIENT означает hard blocked из-за недостатка обязательных данных. MEAN_REVERSION_EDGE_UNCONFIRMED означает strategy no_trade: evidence рассчитан, но торговый тезис не подтверждён. Оба статуса означают НЕ ЗАПУСКАТЬ; высокий legacy range score,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rPr>
          <w:sz w:val="21"/>
        </w:rPr>
        <w:t>Отдельное касание directional tp_per_leg не подтверждает прибыль всего grid. Arithmetic tp_per_leg должен совпадать с полным соседним grid interval; коэффициент fill_efficiency не уменьшает PnL уже завершённой пары. Одна и та же сетка может закрываться повторно, поэтому cumulative completed trades не ограничиваются grid_count.</w:t>
      </w:r>
    </w:p>
    <w:p>
      <w:pPr>
        <w:pStyle w:val="ListBullet"/>
      </w:pPr>
      <w:r>
        <w:rPr>
          <w:sz w:val="19"/>
        </w:rPr>
        <w:t>Outcome worker ведёт quantity-aware endpoint ledger уровней: cash, LONG/SHORT lots, цены inferred fills и целое количество resting orders на каждом уровне. Если ближайший TP исходной directional-позиции и replacement TP после соседнего buy/sell совпадают по цене, оба lots сохраняются и исполняются; один не заменяет другой. Наблюдаемые close→open и open→close движения учитываются отдельно; двусторонний intrabar order из OHLC не выдумывается.</w:t>
      </w:r>
    </w:p>
    <w:p>
      <w:pPr>
        <w:pStyle w:val="ListBullet"/>
      </w:pPr>
      <w:r>
        <w:rPr>
          <w:sz w:val="19"/>
        </w:rPr>
        <w:t>Outcome entry — open первой точной 1m-свечи, начинающейся строго после publication timestamp. Arithmetic grid_count означает число интервалов: при reference точно на уровне активны N orders, между уровнями — N+1. LONG/SHORT capital commitment включает initial directional inventory и adverse-side opening orders по фактическим grid prices; recommender, auto-snap, preflight, runtime caps, daily-loss fallback и outcome denominator используют одну модель. Для свечи с material high/low сравниваются O→H→L→C и O→L→H→C; если ledger, stop или PnL различаются, label unavailable. Kill-switch строго охватывает grid range и завершает ledger. Close→open gap, перескочивший kill-switch, не оценивается по недостижимой boundary price: такой proxy outcome unavailable. Текущий контракт — grid_label_v12; первый запуск v1.0.31 сбрасывает только старые proxy outcomes/calibrators.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rPr>
          <w:sz w:val="19"/>
        </w:rPr>
        <w:t>explicit leverage, isolated margin mode, sizing/economics for qtyStep, minNotional, exact active-order count, committed notional, margin and worst-case exposure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rPr>
          <w:sz w:val="21"/>
        </w:rPr>
        <w:t>Hard blocked: MEAN_REVERSION_EVIDENCE_INSUFFICIENT, INVALID_MARKET_REFERENCE_PRICE и иные data/risk/Bybit/preflight failures. Strategy no_trade: MEAN_REVERSION_EDGE_UNCONFIRMED либо непрохождение launch-score/confidence/economics.</w:t>
      </w:r>
    </w:p>
    <w:p>
      <w:pPr>
        <w:pStyle w:val="ListBullet"/>
      </w:pPr>
      <w:r>
        <w:rPr>
          <w:sz w:val="21"/>
        </w:rPr>
        <w:t>Устаревшая publication-chain, stale market data, live ticker вне range/kill-switch, отсутствующая пара bid/ask, spread &gt;14 bps, live net edge &lt;2 bps или gross/cost coverage &lt;=1,10x.</w:t>
      </w:r>
    </w:p>
    <w:p>
      <w:pPr>
        <w:pStyle w:val="ListBullet"/>
      </w:pPr>
      <w:r>
        <w:rPr>
          <w:sz w:val="21"/>
        </w:rPr>
        <w:t>Отсутствующие tickSize, qtyStep, minNotional, leverageFilter, non-Trading status.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rPr>
          <w:sz w:val="21"/>
        </w:rPr>
        <w:t>Оценочный loss до adverse kill-switch превышает остаток дневного лимита max_daily_dd_usdt - daily_dd (DAILY_LOSS_BUDGET_EXCEEDED). Fallback notional обязан использовать каноническое число активных заявок N или N+1, а не безусловный grid_count.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rPr>
          <w:sz w:val="21"/>
        </w:rPr>
        <w:t>1. Проверить status/effective_status: blocked означает жёсткий data/risk/Bybit/preflight отказ; no_trade означает неподтверждённый торговый тезис или launch/economics gate.</w:t>
      </w:r>
    </w:p>
    <w:p>
      <w:r>
        <w:rPr>
          <w:sz w:val="21"/>
        </w:rPr>
        <w:t>2. Сверить current price, best bid/ask spread, live net edge, TTL, Bybit metadata, funding snapshot, liquidation buffer и остаток дневного loss budget относительно kill-switch.</w:t>
      </w:r>
    </w:p>
    <w:p>
      <w:r>
        <w:rPr>
          <w:b/>
          <w:sz w:val="21"/>
        </w:rPr>
        <w:t xml:space="preserve">3. </w:t>
      </w:r>
      <w:r>
        <w:rPr>
          <w:sz w:val="21"/>
        </w:rPr>
        <w:t>Переносить в Bybit только полный trade_plan; не использовать пустой/legacy payload.</w:t>
      </w:r>
    </w:p>
    <w:p>
      <w:r>
        <w:rPr>
          <w:sz w:val="21"/>
        </w:rPr>
        <w:t>4. Не снижать severity guard-а вручную, не превращать no_trade в recommendation и не запускать при blocked/no_trade.</w:t>
      </w:r>
    </w:p>
    <w:p>
      <w:r>
        <w:rPr>
          <w:sz w:val="21"/>
        </w:rPr>
        <w:br w:type="page"/>
      </w:r>
    </w:p>
    <w:p>
      <w:pPr>
        <w:pStyle w:val="ListBullet"/>
      </w:pPr>
      <w:r>
        <w:rPr>
          <w:sz w:val="21"/>
        </w:rPr>
        <w:t>Журнал исходов обязан показывать actionable headline отдельно от all-roots и shadow no_trade research cohorts и не называть OHLCV proxy фактической торговлей.</w:t>
      </w:r>
    </w:p>
    <w:p>
      <w:pPr>
        <w:pStyle w:val="ListBullet"/>
      </w:pPr>
      <w:r>
        <w:rPr>
          <w:sz w:val="21"/>
        </w:rP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fill и не основание для ручного исполнения.</w:t>
      </w:r>
    </w:p>
    <w:p>
      <w:pPr>
        <w:pStyle w:val="ListBullet"/>
      </w:pPr>
      <w:r>
        <w:rPr>
          <w:sz w:val="21"/>
        </w:rPr>
        <w:t>Необученный bot-specific calibrator сам по себе публикацию не блокирует: до fit используется ограниченный raw-confidence, а deterministic gates работают независимо.</w:t>
      </w:r>
    </w:p>
    <w:p>
      <w:pPr>
        <w:pStyle w:val="ListBullet"/>
      </w:pPr>
      <w:r>
        <w:rPr>
          <w:sz w:val="21"/>
        </w:rPr>
        <w:t>Отсутствие recommended/active является допустимым и безопасным результатом, особенно при отрицательной proxy-статистике или слабом range edge. Система не обязана постоянно выдавать сделки.</w:t>
      </w:r>
    </w:p>
    <w:p>
      <w:pPr>
        <w:pStyle w:val="Heading2"/>
      </w:pPr>
      <w:r>
        <w:rPr>
          <w:sz w:val="21"/>
        </w:rPr>
        <w:t>Нет запускных рекомендаций</w:t>
      </w:r>
    </w:p>
    <w:p>
      <w:pPr>
        <w:pStyle w:val="Heading1"/>
      </w:pPr>
      <w:r>
        <w:rPr>
          <w:sz w:val="21"/>
        </w:rPr>
        <w:t>Учёт фактического исполнения и PnL</w:t>
      </w:r>
    </w:p>
    <w:p>
      <w:pPr>
        <w:pStyle w:val="ListBullet"/>
      </w:pPr>
      <w:r>
        <w:rPr>
          <w:sz w:val="21"/>
        </w:rPr>
        <w:t>Каждый fill передаётся отдельным immutable event с Bybit execId, orderId, фактическими price/qty и прямой связью с исходным rec_id.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rPr>
          <w:sz w:val="21"/>
        </w:rPr>
        <w:t>Для диагностики исполнения фиксируется отдельный timestamped pre-submit/decision benchmark; orderPrice не заменяет этот benchmark.</w:t>
      </w:r>
    </w:p>
    <w:p>
      <w:pPr>
        <w:pStyle w:val="ListBullet"/>
      </w:pPr>
      <w:r>
        <w:rPr>
          <w:sz w:val="21"/>
        </w:rPr>
        <w:t>Чтение execution evidence и live-validation требует ADMIN_API_KEY. Статистика остаётся descriptive-only, но persistent negative exact evidence теперь является fail-closed stop condition.</w:t>
      </w:r>
    </w:p>
    <w:p>
      <w:pPr>
        <w:pStyle w:val="ListBullet"/>
      </w:pPr>
      <w:r>
        <w:rPr>
          <w:sz w:val="21"/>
        </w:rPr>
        <w:t>Внешний адаптер обязан преобразовать Bybit millisecond timestamps в точные UTC seconds, сохранить исходный payload и учесть все fee components/rebates.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rPr>
          <w:sz w:val="21"/>
        </w:rPr>
        <w:t>Stop-критерий по exact execution evidence</w:t>
      </w:r>
    </w:p>
    <w:p>
      <w:pPr>
        <w:pStyle w:val="ListBullet"/>
      </w:pPr>
      <w:r>
        <w:rPr>
          <w:sz w:val="21"/>
        </w:rPr>
        <w:t>В gate входят только stopped bots с exact fills/funding той же explicit model_version; повторные publication roots считаются один раз. Текущая версия сигнала: bybit-taxonomy-v3-mean-reversion; legacy v2 evidence не смешивается с новой калибровкой.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Отрицательные total и median net PnL при positive rate &lt;50% блокируют direction после 8, symbol после 12 и portfolio после 20 независимых наблюдений.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rPr>
          <w:sz w:val="21"/>
        </w:rPr>
        <w:t>Operator infographic</w:t>
      </w:r>
    </w:p>
    <w:p>
      <w:r>
        <w:rPr>
          <w:sz w:val="19"/>
        </w:rPr>
        <w:drawing>
          <wp:inline xmlns:a="http://schemas.openxmlformats.org/drawingml/2006/main" xmlns:pic="http://schemas.openxmlformats.org/drawingml/2006/picture">
            <wp:extent cx="5852160" cy="487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Updated with exact-evidence negative-expectancy stop gate.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