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Инструкция оператора Bybit Recommender</w:t>
      </w:r>
    </w:p>
    <w:p>
      <w:pPr/>
      <w:r>
        <w:t>Версия документа: 1.0.57 (policy-conditioned calibration; complete censoring denominator; terminal held-out model; exchange-reconciled live PnL boundary; no runtime order execution)</w:t>
      </w:r>
    </w:p>
    <w:p>
      <w:r>
        <w:t>Назначение: регламент интерпретации рекомендаций и исторических proxy-outcomes в paper/shadow-режиме. Документ не является инструкцией по переносу параметров в биржевой бот.</w:t>
      </w:r>
    </w:p>
    <w:p>
      <w:r>
        <w:t>Граница системы. Репозиторий является recommendation/audit service, not OMS/EMS. Он не выставляет ордера, не подтверждает runtime-исполнимость, не знает очередь, partial fills, состояние аккаунта или фактическую доступность маржи. Статус recommended означает модельный сигнал, а не готовый к исполнению ордер.</w:t>
      </w:r>
    </w:p>
    <w:p>
      <w:pPr>
        <w:pStyle w:val="Heading1"/>
      </w:pPr>
      <w:r>
        <w:t>Policy-conditioned evidence contract</w:t>
      </w:r>
    </w:p>
    <w:p>
      <w:pPr/>
      <w:r>
        <w:t>Каждый root сохраняет canonical policy_contract и SHA-256 fingerprint: model/outcome versions, feature schema, candidate thresholds, universe, LLM gate и active risk limits. Fit и denominator заново вычисляют digest из contract; скопированный hash при изменённом/отсутствующем contract считается unresolved.</w:t>
      </w:r>
    </w:p>
    <w:p>
      <w:pPr/>
      <w:r>
        <w:t>Policy evaluation и shadow exploration разделены. Статистические calibration gates исключаются из pre-calibration candidate policy, чтобы отсутствие модели не делало сбор evidence логически невозможным; hard data/risk/economic veto по-прежнему исключает root.</w:t>
      </w:r>
    </w:p>
    <w:p>
      <w:pPr/>
      <w:r>
        <w:t>Outcome worker ведёт независимый ledger waiting/censored/labeled и ротирует waiting rows по last_attempt_ts. Неразмеченные зрелые roots не могут исчезнуть из denominator или навсегда забить bounded queue.</w:t>
      </w:r>
    </w:p>
    <w:p>
      <w:pPr>
        <w:pStyle w:val="Heading1"/>
      </w:pPr>
      <w:r>
        <w:t>История исходов и текущая model lineage</w:t>
      </w:r>
    </w:p>
    <w:p>
      <w:r>
        <w:t>После обновления v1.0.57 таблица reco_outcomes не очищается: старые строки остаются неизменяемой аудиторской историей. В калибровку входят только outcomes той же model lineage и того же полного policy fingerprint; изменение порога, universe, LLM gate или risk limits начинает отдельную evidence-выборку.</w:t>
      </w:r>
    </w:p>
    <w:p>
      <w:r>
        <w:t>Оператор должен различать: исторический архив; outcomes текущей model_version; feature-eligible rows; фактически принятые fit rows; независимые matured temporal cohorts. Для новой lineage нормальное начальное состояние — архив непуст, а current/eligible/fit/time_clusters равны нулю.</w:t>
      </w:r>
    </w:p>
    <w:p>
      <w:pPr>
        <w:pStyle w:val="Heading1"/>
      </w:pPr>
      <w:r>
        <w:t>Граница исторического моделирования</w:t>
      </w:r>
    </w:p>
    <w:p>
      <w:pPr/>
      <w:r>
        <w:t>Recommendation publication и outcome labeling не зависят от текущих Bybit tickSize, qtyStep, minOrderQty, minNotional или статуса инструмента. Отсутствие этих данных не переводит рекомендацию в blocked и не отменяет созревший исторический outcome.</w:t>
      </w:r>
    </w:p>
    <w:p>
      <w:pPr/>
      <w:r>
        <w:t>В reasons.simulation_scope должны быть: mode=historical_proxy_only, runtime_order_submission=false, runtime_execution_validation=not_performed, exchange_fill_attestation=not_available. Это основной контракт текущей версии 1.0.57.</w:t>
      </w:r>
    </w:p>
    <w:p>
      <w:pPr/>
      <w:r>
        <w:t>Явный preflight с текущими биржевыми фильтрами может использоваться только как отдельная справочная диагностика. Он не изменяет сохранённую рекомендацию, её статус, историческую геометрию, outcome или calibration evidence.</w:t>
      </w:r>
    </w:p>
    <w:p>
      <w:pPr>
        <w:pStyle w:val="Heading1"/>
      </w:pPr>
      <w:r>
        <w:t>Объёмное подтверждение proxy fills</w:t>
      </w:r>
    </w:p>
    <w:p>
      <w:pPr/>
      <w:r>
        <w:t>Trade-through означает только, что рынок прошёл за лимитный уровень. Полный proxy fill не подтверждён, если размер модельной заявки превышает весь наблюдаемый минутный объём.</w:t>
      </w:r>
    </w:p>
    <w:p>
      <w:pPr/>
      <w:r>
        <w:t>Для grid_label_v26 стартовая directional-позиция и все смоделированные fills расходуют общий candle-volume budget в base/contract quantity. Коды insufficient_candle_volume_for_full_fill и insufficient_candle_volume_for_initial_inventory означают: outcome unavailable, статистического evidence нет.</w:t>
      </w:r>
    </w:p>
    <w:p>
      <w:pPr/>
      <w:r>
        <w:t>Даже достаточный общий объём не доказывает очередь, ликвидность на конкретном уровне, partial fills или отсутствие market impact. Это консервативная историческая модель, а не exchange-attested execution.</w:t>
      </w:r>
    </w:p>
    <w:p>
      <w:pPr>
        <w:pStyle w:val="Heading2"/>
      </w:pPr>
      <w:r>
        <w:t>Ликвидность на границе horizon и при защитном закрытии</w:t>
      </w:r>
    </w:p>
    <w:p>
      <w:r>
        <w:t>Объёмный бюджет одной минутной свечи заканчивается вместе с этой свечой. Gap-fill на точном horizon-open не может использовать объём предыдущей минуты: он и terminal close остаточной позиции расходуют единый бюджет граничной свечи.</w:t>
      </w:r>
    </w:p>
    <w:p>
      <w:r>
        <w:t>При kill-switch все grid-fills до защитной границы и закрытие остаточного inventory расходуют единый объём breach-candle. Коды insufficient_candle_volume_for_terminal_liquidation и insufficient_candle_volume_for_kill_switch_liquidation означают NO EVIDENCE, а не частичную прибыль или убыток.</w:t>
      </w:r>
    </w:p>
    <w:p>
      <w:r>
        <w:t>Стратегический horizon не увеличивается: для futures_grid он остаётся 12 часов. Но label_available_ts наступает через 60 секунд после horizon-end, когда полный объём граничной минуты уже исторически известен. Это proxy-правило, а не runtime-подтверждение исполнения.</w:t>
      </w:r>
    </w:p>
    <w:p>
      <w:pPr>
        <w:pStyle w:val="Heading1"/>
      </w:pPr>
      <w:r>
        <w:t>Консервативная цена kill-switch</w:t>
      </w:r>
    </w:p>
    <w:p>
      <w:pPr/>
      <w:r>
        <w:t>При внутрисвечном пробое защитной границы историческая модель сначала обрабатывает resting grid-orders только до kill-switch. Остаточная позиция не считается идеально закрытой ровно по trigger-price, если свеча уже доказывает дальнейшее неблагоприятное движение.</w:t>
      </w:r>
    </w:p>
    <w:p>
      <w:pPr/>
      <w:r>
        <w:t>Residual SHORT при пробое верхнего kill-switch закрывается по наблюдаемому high свечи; residual LONG при пробое нижнего kill-switch — по наблюдаемому low. Если продолжение цены выгодно остаточной позиции, положительное проскальзывание не кредитуется и сохраняется цена границы.</w:t>
      </w:r>
    </w:p>
    <w:p>
      <w:pPr/>
      <w:r>
        <w:t>Диагностика: kill_switch_fill_confirmation=adverse_observed_extreme_v1, kill_switch_boundary_price, kill_switch_observed_extreme и kill_switch_liquidation_price. Gap, перескочивший границу между свечами, по-прежнему не размечается.</w:t>
      </w:r>
    </w:p>
    <w:p>
      <w:pPr>
        <w:pStyle w:val="Heading1"/>
      </w:pPr>
      <w:r>
        <w:rPr>
          <w:sz w:val="21"/>
        </w:rPr>
        <w:t>Профиль риска поставки</w:t>
      </w:r>
    </w:p>
    <w:p>
      <w:pPr>
        <w:pStyle w:val="ListBullet"/>
      </w:pPr>
      <w:r>
        <w:rPr>
          <w:sz w:val="21"/>
        </w:rPr>
        <w:t>`min_leverage=3`, `max_leverage=5`; 3-5x is the baseline actionable leverage interval.</w:t>
      </w:r>
    </w:p>
    <w:p>
      <w:pPr>
        <w:pStyle w:val="ListBullet"/>
      </w:pPr>
      <w:r>
        <w:rPr>
          <w:sz w:val="21"/>
        </w:rPr>
        <w:t>По умолчанию разрешён один running bot на аккаунт/символ.</w:t>
      </w:r>
    </w:p>
    <w:p>
      <w:pPr>
        <w:pStyle w:val="ListBullet"/>
      </w:pPr>
      <w:r>
        <w:rPr>
          <w:sz w:val="21"/>
        </w:rPr>
        <w:t>Поддерживается только Bybit Linear USDT Futures Grid; spot/inverse/options/non-USDT блокируются.</w:t>
      </w:r>
    </w:p>
    <w:p>
      <w:pPr>
        <w:pStyle w:val="ListBullet"/>
      </w:pPr>
      <w:r>
        <w:t>Любой deterministic data/risk/model blocker означает NO TRADE. Необязательная текущая preflight-диагностика не переписывает модельный статус.</w:t>
      </w:r>
    </w:p>
    <w:p>
      <w:pPr>
        <w:pStyle w:val="Heading1"/>
      </w:pPr>
      <w:r>
        <w:rPr>
          <w:sz w:val="21"/>
        </w:rPr>
        <w:t>Устойчивость сигнала и идентичность рекомендации</w:t>
      </w:r>
    </w:p>
    <w:p>
      <w:pPr/>
      <w:r>
        <w:rPr>
          <w:sz w:val="21"/>
        </w:rPr>
        <w:t>Actionable futures_grid допускается только после двух разных последовательно закрытых evidence snapshots (features_ref_ts). Повторный цикл на той же закрытой свече не является вторым подтверждением; до нового snapshot статус остаётся pending.</w:t>
      </w:r>
    </w:p>
    <w:p>
      <w:pPr/>
      <w:r>
        <w:rPr>
          <w:sz w:val="21"/>
        </w:rPr>
        <w:t>Обновление карточки перечитывает exact selected rec_id. Более новая строка по той же паре, включая no_trade или смену направления, показывается отдельно в истории и не должна незаметно подменять открытую рекомендацию.</w:t>
      </w:r>
    </w:p>
    <w:p>
      <w:pPr/>
      <w:r>
        <w:t>Raw confidence — эвристическое качество модельного сигнала, а не вероятность прибыли и не runtime-исполнимость. Даже calibrated confidence относится только к proxy outcomes. Поле expected_rr в UI отображается как «Прокси capture/risk» и не является фактическим отношением прибыли к убытку.</w:t>
      </w:r>
    </w:p>
    <w:p>
      <w:pPr>
        <w:pStyle w:val="Heading1"/>
      </w:pPr>
      <w:r>
        <w:t>Purged OOF для feature LogReg</w:t>
      </w:r>
    </w:p>
    <w:p>
      <w:r>
        <w:t>Полная feature LogReg не считается калиброванной только потому, что коэффициенты успешно обучены на всей retained-выборке. Для источника bot_logreg требуется не менее CALIB_MIN_SAMPLES действительно out-of-fold прогнозов, полученных хронологически после purging по label_available_ts, и fitted Platt-on-top на этих OOF logits.</w:t>
      </w:r>
    </w:p>
    <w:p>
      <w:r>
        <w:t>В confidence_model проверяйте purged_oof_status, purged_oof_skill_status, aggregate/final log-loss и policy fingerprint. Модель разрешена только при sufficient + accepted и превосходстве score-only/null baseline как на walk-forward совокупности, так и на терминальном будущем блоке. Иначе coefficients и Platt не используются, а capped raw confidence остаётся audit-only.</w:t>
      </w:r>
    </w:p>
    <w:p>
      <w:r>
        <w:t>In-sample score-only Platt больше не является probability fallback. Активный LogReg + Platt обучается только на данных до терминального holdout; сам holdout не входит в финальный fit. Недостаток или отсутствие held-out skill при REQUIRE_CONF_GATE=1 означает CALIBRATED_CONFIDENCE_UNAVAILABLE и NO TRADE.</w:t>
      </w:r>
    </w:p>
    <w:p>
      <w:pPr>
        <w:pStyle w:val="Heading1"/>
      </w:pPr>
      <w:r>
        <w:t>Независимость временных evidence-кластеров</w:t>
      </w:r>
    </w:p>
    <w:p>
      <w:r>
        <w:t>Количество монет не равно количеству независимых экспериментов. Сначала outcomes с одинаковым временем решения ts объединяются в один поперечный временной cohort. Затем из cohort-интервалов [ts, label_available_ts] выбирается максимальное по числу детерминированное множество попарно непересекающихся интервалов методом earliest-finish. Транзитивное перекрытие больше не склеивает непрерывную историю в один бесконечно растущий кластер.</w:t>
      </w:r>
    </w:p>
    <w:p>
      <w:r>
        <w:t>Для штатного CALIB_MIN_SAMPLES=80 требуется минимум 20 эффективных попарно неперекрывающихся time cohorts. Строки с одинаковым recommendation timestamp сначала объединяются в одно cross-sectional решение, затем earliest-finish scheduling выбирает максимальный набор неперекрывающихся интервалов. Односторонняя 95% lower bound теперь использует Student-t critical value по effective sample size, а не прежнюю normal approximation; граница должна быть строго положительной на уровне строк и cohort means.</w:t>
      </w:r>
    </w:p>
    <w:p>
      <w:r>
        <w:t>Недостаток временных кластеров, отсутствующая диагностика или неположительная cluster lower bound означает shadow NO TRADE с PROXY_MONETARY_EXPECTANCY_UNPROVEN. Высокий score, win rate или десятки коррелированных символов не являются основанием для обхода.</w:t>
      </w:r>
    </w:p>
    <w:p>
      <w:pPr>
        <w:pStyle w:val="Heading1"/>
      </w:pPr>
      <w:r>
        <w:t>Денежное ожидание калибровки</w:t>
      </w:r>
    </w:p>
    <w:p>
      <w:pPr/>
      <w:r>
        <w:t>Высокая доля успешных proxy labels не является доказательством прибыли. Cohort из множества малых выигрышей и меньшего числа крупных убытков может иметь высокий hit rate, но отрицательный net return.</w:t>
      </w:r>
    </w:p>
    <w:p>
      <w:pPr/>
      <w:r>
        <w:t>Actionable futures_grid допускается только когда точная policy-conditioned matured-return выборка имеет достаточный Kish effective sample size и положительную одностороннюю 95% Student-t lower bound. Каждый matured policy root входит в denominator как labeled, censored или unresolved. Любой censored/unresolved/invalid-labeled root либо исчезнувшая поддержка cache означает PROXY_OUTCOME_CENSORING_UNBOUNDED и NO TRADE немедленно, не только после cache interval.</w:t>
      </w:r>
    </w:p>
    <w:p>
      <w:pPr/>
      <w:r>
        <w:t>Это защитный OHLCV proxy gate, а не доказательство live edge, исполнимости или гарантии прибыли. Live validation учитывает положительный PnL только после stopped + local flat + complete terminal reconciliation от доверенного внешнего read-only Bybit private-API adapter; totals fills/fees/funding, event counts, position и open orders должны совпасть. Сам сервис проверяет согласованность, но не криптографически доказывает происхождение внешнего снимка.</w:t>
      </w:r>
    </w:p>
    <w:p>
      <w:pPr>
        <w:pStyle w:val="Heading1"/>
      </w:pPr>
      <w:r>
        <w:rPr>
          <w:sz w:val="21"/>
        </w:rPr>
        <w:t>Подтверждение диапазонного edge</w:t>
      </w:r>
    </w:p>
    <w:p>
      <w:pPr/>
      <w:r>
        <w:rPr>
          <w:sz w:val="21"/>
        </w:rPr>
        <w:t>Низкий trendiness или плоский MA slope сами по себе не подтверждают диапазон: так же выглядит driftless/random-walk path, у которого комиссии и spread создают отрицательное ожидание.</w:t>
      </w:r>
    </w:p>
    <w:p>
      <w:pPr/>
      <w:r>
        <w:rPr>
          <w:sz w:val="21"/>
        </w:rPr>
        <w:t>Actionable futures_grid требует независимого anti-persistence evidence минимум на трёх закрытых timeframes: lag-1 return autocorrelation, variance ratio и sign-reversal rate.</w:t>
      </w:r>
    </w:p>
    <w:p>
      <w:pPr/>
      <w:r>
        <w:t>MEAN_REVERSION_EVIDENCE_INSUFFICIENT означает hard blocked из-за недостатка обязательных исторических данных. MEAN_REVERSION_EDGE_UNCONFIRMED означает strategy no_trade: evidence рассчитан, но score ниже MEAN_REVERSION_MIN_SCORE (по умолчанию 0.25). Этот порог является candidate screen и не доказывает ни прибыль, ни отрицательное ожидание; monetary expectancy проверяется отдельно по matured outcomes. Высокий raw confidence или LLM verdict решение не отменяют.</w:t>
      </w:r>
    </w:p>
    <w:p>
      <w:pPr>
        <w:pStyle w:val="Heading1"/>
      </w:pPr>
      <w:r>
        <w:rPr>
          <w:sz w:val="21"/>
        </w:rPr>
        <w:t>Directional TP/SL</w:t>
      </w:r>
    </w:p>
    <w:p>
      <w:pPr>
        <w:pStyle w:val="ListBullet"/>
      </w:pPr>
      <w:r>
        <w:rPr>
          <w:sz w:val="21"/>
        </w:rPr>
        <w:t>Long: TP above entry/reference, SL below entry/reference.</w:t>
      </w:r>
    </w:p>
    <w:p>
      <w:pPr>
        <w:pStyle w:val="ListBullet"/>
      </w:pPr>
      <w:r>
        <w:rPr>
          <w:sz w:val="21"/>
        </w:rPr>
        <w:t>Short: TP below entry/reference, SL above entry/reference.</w:t>
      </w:r>
    </w:p>
    <w:p>
      <w:pPr>
        <w:pStyle w:val="ListBullet"/>
      </w:pPr>
      <w:r>
        <w:rPr>
          <w:sz w:val="21"/>
        </w:rPr>
        <w:t>Neutral grid: направленного TP нет; нижняя и верхняя внешние границы являются kill-switch exits.</w:t>
      </w:r>
    </w:p>
    <w:p>
      <w:pPr>
        <w:pStyle w:val="ListBullet"/>
      </w:pPr>
      <w:r>
        <w:rPr>
          <w:sz w:val="21"/>
        </w:rPr>
        <w:t>UI должен отображать directional_exit_levels из backend, а не локально пересчитывать TP/SL для linear long/short.</w:t>
      </w:r>
    </w:p>
    <w:p>
      <w:pPr>
        <w:pStyle w:val="Heading1"/>
      </w:pPr>
      <w:r>
        <w:rPr>
          <w:sz w:val="21"/>
        </w:rPr>
        <w:t>Proxy outcome, shadow sample и калибровка</w:t>
      </w:r>
    </w:p>
    <w:p>
      <w:pPr>
        <w:pStyle w:val="ListBullet"/>
      </w:pPr>
      <w:r>
        <w:t>Отдельное касание directional tp_per_leg не подтверждает прибыль всего grid. Arithmetic tp_per_leg совпадает с полным соседним interval. Grid Profit завершённой пары уменьшается только на комиссии её двух resting fills. Bid/ask spread и slippage относятся к разовой market setup/terminal exit, а funding — к position-time Total P&amp;L; эти слои нельзя повторно вычитать из каждой пары. Одна и та же сетка может закрываться многократно, поэтому cumulative completed trades не ограничиваются grid_count.</w:t>
      </w:r>
    </w:p>
    <w:p>
      <w:pPr>
        <w:pStyle w:val="ListBullet"/>
      </w:pPr>
      <w:r>
        <w:rPr>
          <w:sz w:val="19"/>
        </w:rPr>
        <w:t>Outcome worker ведёт quantity-aware endpoint ledger уровней: cash, LONG/SHORT lots, цены inferred fills и целое количество resting orders на каждом уровне. Если ближайший TP исходной directional-позиции и replacement TP после соседнего buy/sell совпадают по цене, оба lots сохраняются и исполняются; один не заменяет другой. Наблюдаемые close→open и open→close движения учитываются отдельно; двусторонний intrabar order из OHLC не выдумывается.</w:t>
      </w:r>
    </w:p>
    <w:p>
      <w:pPr>
        <w:pStyle w:val="ListBullet"/>
      </w:pPr>
      <w:r>
        <w:t>Outcome contract остаётся grid_label_v26. Версия 1.0.57 не удаляет исторические outcomes: они сохраняются как аудит. Текущая recommendation lineage v8 допускает только verified exact-policy outcomes; bot/global calibrators используют v19. Direction v14 использует horizon-price target, но его Platt audit-only до отдельного chronological skill gate и не меняет decision feature.</w:t>
      </w:r>
    </w:p>
    <w:p>
      <w:pPr>
        <w:pStyle w:val="ListBullet"/>
      </w:pPr>
      <w:r>
        <w:t>Исторический funding в proxy outcomes берётся только из фактически рассчитанных Bybit settlements, собранных через публичный funding-history endpoint. Ticker fundingRate остаётся прогнозом для approval/risk и не подменяет исторический факт. Положительная ставка означает: LONG платит, SHORT получает; отрицательная ставка меняет знак. Для canonical proxy ret и monetary calibration adverse settled funding всегда вычитается, а положительный receipt не кредитуется как устойчивый alpha и не может превратить плоскую/убыточную сетку в success. Signed funding остаётся диагностикой исторической модели; возможная внешняя post-hoc сверка не входит в runtime-контракт системы. Если в момент ожидаемого funding event позиция ненулевая, а settlement row отсутствует, label не создаётся fail-closed.</w:t>
      </w:r>
    </w:p>
    <w:p>
      <w:pPr>
        <w:pStyle w:val="Heading1"/>
      </w:pPr>
      <w:r>
        <w:rPr>
          <w:sz w:val="21"/>
        </w:rPr>
        <w:t>Обязательный trade plan</w:t>
      </w:r>
    </w:p>
    <w:p>
      <w:pPr>
        <w:pStyle w:val="ListBullet"/>
      </w:pPr>
      <w:r>
        <w:rPr>
          <w:sz w:val="21"/>
        </w:rPr>
        <w:t>Complete `params.trade_plan` exists; no empty/corrupted payload.</w:t>
      </w:r>
    </w:p>
    <w:p>
      <w:pPr>
        <w:pStyle w:val="ListBullet"/>
      </w:pPr>
      <w:r>
        <w:rPr>
          <w:sz w:val="21"/>
        </w:rPr>
        <w:t>reference_price; levels.range.lower/upper; levels.kill_switch.lower/upper.</w:t>
      </w:r>
    </w:p>
    <w:p>
      <w:pPr>
        <w:pStyle w:val="ListBullet"/>
      </w:pPr>
      <w:r>
        <w:rPr>
          <w:sz w:val="21"/>
        </w:rPr>
        <w:t>levels.grid_step.step_abs; tp_per_leg; grid_count; arithmetic grid model.</w:t>
      </w:r>
    </w:p>
    <w:p>
      <w:pPr>
        <w:pStyle w:val="ListBullet"/>
      </w:pPr>
      <w:r>
        <w:t>explicit leverage, cross margin, one-way position mode, sizing/economics for qtyStep, minNotional, active resting-order count, full initial opening-order committed slots/notional, maximum one-way position exposure and cross-margin equity-stress checks.</w:t>
      </w:r>
    </w:p>
    <w:p>
      <w:pPr>
        <w:pStyle w:val="Heading1"/>
      </w:pPr>
      <w:r>
        <w:rPr>
          <w:sz w:val="21"/>
        </w:rPr>
        <w:t>NO TRADE / BLOCKED условия</w:t>
      </w:r>
    </w:p>
    <w:p>
      <w:pPr>
        <w:pStyle w:val="ListBullet"/>
      </w:pPr>
      <w:r>
        <w:t>Hard blocked: MEAN_REVERSION_EVIDENCE_INSUFFICIENT, INVALID_MARKET_REFERENCE_PRICE и иные data/risk/model failures. Strategy no_trade: MEAN_REVERSION_EDGE_UNCONFIRMED либо непрохождение score/confidence/economics.</w:t>
      </w:r>
    </w:p>
    <w:p>
      <w:pPr>
        <w:pStyle w:val="ListBullet"/>
      </w:pPr>
      <w:r>
        <w:t>Устаревшая publication-chain, stale market data, live ticker вне range/kill-switch, отсутствующая пара bid/ask, spread &gt;14 bps, recurring grid edge &lt;2 bps или gross/fee coverage &lt;=1,10x. Spread остаётся отдельным liquidity gate, funding — отдельным inventory/schedule guard.</w:t>
      </w:r>
    </w:p>
    <w:p>
      <w:pPr>
        <w:pStyle w:val="ListBullet"/>
      </w:pPr>
      <w:r>
        <w:t>В explicit operator preflight отсутствующие tickSize, qtyStep, minNotional, leverageFilter или non-Trading status делают только текущую справочную проверку недоступной; historical recommendation/outcome из-за этого не блокируются.</w:t>
      </w:r>
    </w:p>
    <w:p>
      <w:pPr>
        <w:pStyle w:val="ListBullet"/>
      </w:pPr>
      <w:r>
        <w:rPr>
          <w:sz w:val="21"/>
        </w:rPr>
        <w:t>Funding недоступен или adverse carry уничтожает net edge; LLM gate не OK при включённом gate-режиме.</w:t>
      </w:r>
    </w:p>
    <w:p>
      <w:pPr>
        <w:pStyle w:val="ListBullet"/>
      </w:pPr>
      <w:r>
        <w:t>Оценочный loss до adverse kill-switch превышает остаток дневного лимита max_daily_dd_usdt - daily_dd (DAILY_LOSS_BUDGET_EXCEEDED). Fallback notional обязан разделять commitment и exposure: для NEUTRAL commitment включает все первоначальные Buy/Sell opening orders, а maximum one-way position — только более крупный directional stack; для LONG/SHORT учитываются initial inventory плюс adverse-side openings. Total active-order count, committed slots и max-position slots нельзя взаимозаменять.</w:t>
      </w:r>
    </w:p>
    <w:p>
      <w:pPr>
        <w:pStyle w:val="ListBullet"/>
      </w:pPr>
      <w:r>
        <w:rPr>
          <w:sz w:val="21"/>
        </w:rPr>
        <w:t>Unknown/conflicting same-symbol direction in one-way mode.</w:t>
      </w:r>
    </w:p>
    <w:p>
      <w:pPr>
        <w:pStyle w:val="Heading1"/>
      </w:pPr>
      <w:r>
        <w:rPr>
          <w:sz w:val="21"/>
        </w:rPr>
        <w:t>Практическая последовательность</w:t>
      </w:r>
    </w:p>
    <w:p>
      <w:r>
        <w:t>1. Проверить status/effective_status: blocked означает жёсткий data/risk/model отказ; no_trade означает неподтверждённый тезис или статистический/economic gate.</w:t>
      </w:r>
    </w:p>
    <w:p>
      <w:r>
        <w:t>2. Сверить полноту исторических данных, features_ref_ts, horizon, cost/funding assumptions, simulation_scope и денежные/временные diagnostics.</w:t>
      </w:r>
    </w:p>
    <w:p>
      <w:r>
        <w:t>3. Не интерпретировать trade_plan как готовый биржевой payload: это геометрия исторической симуляции.</w:t>
      </w:r>
    </w:p>
    <w:p>
      <w:r>
        <w:t>4. Не снижать severity guard-а вручную и не превращать blocked/no_trade в положительный исследовательский результат.</w:t>
      </w:r>
    </w:p>
    <w:p/>
    <w:p>
      <w:pPr>
        <w:pStyle w:val="ListBullet"/>
      </w:pPr>
      <w:r>
        <w:rPr>
          <w:sz w:val="21"/>
        </w:rPr>
        <w:t>Журнал исходов обязан показывать actionable headline отдельно от all-roots и shadow no_trade research cohorts и не называть OHLCV proxy фактической торговлей.</w:t>
      </w:r>
    </w:p>
    <w:p>
      <w:pPr>
        <w:pStyle w:val="ListBullet"/>
      </w:pPr>
      <w:r>
        <w:t>Полный no_trade-кандидат без hard blocks может получить outcome_policy.sample_role=shadow_no_trade и после horizon войти в исследовательскую proxy-выборку. Это не реальный запуск, не exchange fill и не основание утверждать исполнимость.</w:t>
      </w:r>
    </w:p>
    <w:p>
      <w:pPr>
        <w:pStyle w:val="ListBullet"/>
      </w:pPr>
      <w:r>
        <w:t>Необученный, цензурированный или не подтвердивший terminal held-out skill bot-specific calibrator означает shadow NO_TRADE: raw confidence audit-only. Положительный cache обязан немедленно воспроизводиться по текущему policy denominator; исчезновение supporting rows отключает его до refit. Подтверждённый negative expectancy сохраняется как консервативный veto.</w:t>
      </w:r>
    </w:p>
    <w:p>
      <w:pPr>
        <w:pStyle w:val="ListBullet"/>
      </w:pPr>
      <w:r>
        <w:t>Отсутствие recommended/active является допустимым и безопасным результатом, особенно при отрицательной monetary proxy-статистике, коде PROXY_MONETARY_EXPECTANCY_NON_POSITIVE или слабом range edge. Система не обязана постоянно выдавать сделки.</w:t>
      </w:r>
    </w:p>
    <w:p>
      <w:pPr>
        <w:pStyle w:val="Heading2"/>
      </w:pPr>
      <w:r>
        <w:t>Нет положительных модельных рекомендаций</w:t>
      </w:r>
    </w:p>
    <w:p>
      <w:pPr>
        <w:pStyle w:val="Heading1"/>
      </w:pPr>
      <w:r>
        <w:t>Опциональная внешняя post-hoc сверка PnL</w:t>
      </w:r>
    </w:p>
    <w:p>
      <w:pPr>
        <w:pStyle w:val="ListBullet"/>
      </w:pPr>
      <w:r>
        <w:t>Если отдельно подключена внешняя post-hoc сверка, каждый fill передаётся immutable event с execId/orderId, price/qty и связью с rec_id. Этот контур не используется для runtime-публикации рекомендаций и не меняет историческую fill-модель.</w:t>
      </w:r>
    </w:p>
    <w:p>
      <w:pPr>
        <w:pStyle w:val="ListBullet"/>
      </w:pPr>
      <w:r>
        <w:rPr>
          <w:sz w:val="21"/>
        </w:rPr>
        <w:t>Funding записывается отдельным signed transaction-log event. Exact evidence и legacy /trades нельзя смешивать для одного bot_id.</w:t>
      </w:r>
    </w:p>
    <w:p>
      <w:pPr>
        <w:pStyle w:val="ListBullet"/>
      </w:pPr>
      <w:r>
        <w:rPr>
          <w:sz w:val="21"/>
        </w:rPr>
        <w:t>Канонический net PnL: фактический gross execPnl + funding - fee. Slippage уже отражён в fill prices и повторно не вычитается.</w:t>
      </w:r>
    </w:p>
    <w:p>
      <w:pPr>
        <w:pStyle w:val="ListBullet"/>
      </w:pPr>
      <w:r>
        <w:t>Для внешней post-hoc диагностики может фиксироваться отдельный timestamped benchmark; он не является обязательной частью системы исторического моделирования.</w:t>
      </w:r>
    </w:p>
    <w:p>
      <w:pPr>
        <w:pStyle w:val="ListBullet"/>
      </w:pPr>
      <w:r>
        <w:t>Запись execution evidence и terminal reconciliation требует ADMIN_API_KEY. До полного reconciliation записи descriptive-only: положительные суммы не кредитуются в live PnL или risk recovery, а неподтверждённые убытки учитываются консервативно. Внешний adapter остаётся отдельной доверенной границей и не выставляет ордера через этот сервис.</w:t>
      </w:r>
    </w:p>
    <w:p>
      <w:pPr>
        <w:pStyle w:val="ListBullet"/>
      </w:pPr>
      <w:r>
        <w:t>При использовании внешнего адаптера он обязан преобразовать millisecond timestamps в UTC seconds, сохранить исходный payload и учесть fee/rebates. Это отдельная интеграция, а не runtime-функция рекомендательной системы.</w:t>
      </w:r>
    </w:p>
    <w:p>
      <w:pPr/>
      <w:r>
        <w:rPr>
          <w:sz w:val="21"/>
        </w:rPr>
        <w:t>Этот контур не выставляет, не изменяет и не отменяет ордера. Unrealised PnL, open inventory и account-level liquidation risk остаются ответственностью внешнего executor/reconciler.</w:t>
      </w:r>
    </w:p>
    <w:p>
      <w:pPr/>
      <w:r>
        <w:rPr>
          <w:sz w:val="21"/>
        </w:rPr>
        <w:t>Prospective daily-budget guard является консервативной оценкой. Фактический open inventory, average fill price и account-level risk обязан проверять внешний executor/reconciler.</w:t>
      </w:r>
    </w:p>
    <w:p>
      <w:pPr>
        <w:pStyle w:val="Heading1"/>
      </w:pPr>
      <w:r>
        <w:t>Опциональная terminal finalization внешнего evidence</w:t>
      </w:r>
    </w:p>
    <w:p>
      <w:pPr>
        <w:pStyle w:val="ListBullet"/>
      </w:pPr>
      <w:r>
        <w:t>Частичные события сохраняются immutable и видимы в audit API, но не входят в LIVE_VALIDATION_* до передачи всех opening/closing fills и signed funding внешним read-only adapter-ом.</w:t>
      </w:r>
    </w:p>
    <w:p>
      <w:pPr>
        <w:pStyle w:val="ListBullet"/>
      </w:pPr>
      <w:r>
        <w:t>Проверяйте поля total_pnl_finalized=true, position_flat=true и net_position_qty около нуля. validation_ineligible_reasons объясняет отсутствие eligibility.</w:t>
      </w:r>
    </w:p>
    <w:p>
      <w:pPr>
        <w:pStyle w:val="ListBullet"/>
      </w:pPr>
      <w:r>
        <w:t>Stopped status сам по себе не означает завершённый PnL. Любой unmatched Buy/Sell quantity означает residual inventory и исключает bot из live-validation.</w:t>
      </w:r>
    </w:p>
    <w:p>
      <w:pPr>
        <w:pStyle w:val="Heading1"/>
      </w:pPr>
      <w:r>
        <w:t>Опциональный stop-критерий по внешнему evidence</w:t>
      </w:r>
    </w:p>
    <w:p>
      <w:pPr>
        <w:pStyle w:val="ListBullet"/>
      </w:pPr>
      <w:r>
        <w:t>При отдельно включённой post-hoc validation в gate входят только stopped bots той же model_version с terminally finalized evidence. Текущая версия сигнала: bybit-taxonomy-v7-mr-floor-temporal-cohorts. Текущие ключи: logreg_futures_grid_v18, logreg_global_v18 и platt_direction_v13.</w:t>
      </w:r>
    </w:p>
    <w:p>
      <w:pPr>
        <w:pStyle w:val="ListBullet"/>
      </w:pPr>
      <w:r>
        <w:rPr>
          <w:sz w:val="21"/>
        </w:rPr>
        <w:t>Пять последовательных убытков по одному symbol/direction блокируют следующий executed.</w:t>
      </w:r>
    </w:p>
    <w:p>
      <w:pPr>
        <w:pStyle w:val="ListBullet"/>
      </w:pPr>
      <w:r>
        <w:rPr>
          <w:sz w:val="21"/>
        </w:rPr>
        <w:t>После 8 независимых наблюдений по direction, 12 по symbol или 20 по portfolio отрицательный cumulative exact net PnL блокирует следующий executed независимо от median и positive rate. Высокая доля малых выигрышей не компенсирует крупный range-break loss для stop gate.</w:t>
      </w:r>
    </w:p>
    <w:p>
      <w:pPr>
        <w:pStyle w:val="ListBullet"/>
      </w:pPr>
      <w:r>
        <w:rPr>
          <w:sz w:val="21"/>
        </w:rPr>
        <w:t>LIVE_VALIDATION_* нельзя обходить вручную. Отсутствие блока не означает доказанную прибыльность.</w:t>
      </w:r>
    </w:p>
    <w:p>
      <w:pPr>
        <w:pStyle w:val="Heading1"/>
      </w:pPr>
      <w:r>
        <w:t>Историческая справка v1.0.48: обязательная exchange geometry (отменена в v1.0.51)</w:t>
      </w:r>
    </w:p>
    <w:p>
      <w:r>
        <w:t>Описанное ниже обязательное применение текущих Bybit-фильтров было удалено в v1.0.51 как несоответствующее historical-only контракту.</w:t>
      </w:r>
    </w:p>
    <w:p>
      <w:pPr>
        <w:pStyle w:val="ListBullet"/>
        <w:spacing w:after="60"/>
      </w:pPr>
      <w:r>
        <w:t>Не применять в v1.0.51+: текущие exchange metadata являются только необязательной справочной диагностикой и не блокируют модельную рекомендацию.</w:t>
      </w:r>
    </w:p>
    <w:p>
      <w:pPr>
        <w:pStyle w:val="ListBullet"/>
        <w:spacing w:after="60"/>
      </w:pPr>
      <w:r>
        <w:t>Диапазон, reference, kill-switch и grid step должны быть кратны tick_size.</w:t>
      </w:r>
    </w:p>
    <w:p>
      <w:pPr>
        <w:pStyle w:val="ListBullet"/>
        <w:spacing w:after="60"/>
      </w:pPr>
      <w:r>
        <w:t>Количество на ордер должно быть кратно qty_step и не ниже min_order_qty/min_notional.</w:t>
      </w:r>
    </w:p>
    <w:p>
      <w:pPr>
        <w:pStyle w:val="ListBullet"/>
        <w:spacing w:after="60"/>
      </w:pPr>
      <w:r>
        <w:t>Не применять в v1.0.51+: текущие exchange metadata являются только необязательной справочной диагностикой и не блокируют модельную рекомендацию.</w:t>
      </w:r>
    </w:p>
    <w:p>
      <w:pPr>
        <w:pStyle w:val="ListBullet"/>
        <w:spacing w:after="60"/>
      </w:pPr>
      <w:r>
        <w:t>Точное касание свечой лимитного уровня не считается исполнением: Buy требует движения ниже уровня, Sell - выше.</w:t>
      </w:r>
    </w:p>
    <w:p>
      <w:pPr>
        <w:pStyle w:val="ListBullet"/>
        <w:spacing w:after="60"/>
      </w:pPr>
      <w:r>
        <w:t>Даже strict trade-through остаётся proxy и не доказывает queue priority, объём и partial fills.</w:t>
      </w:r>
    </w:p>
    <w:p>
      <w:pPr>
        <w:pStyle w:val="ListBullet"/>
        <w:spacing w:after="60"/>
      </w:pPr>
      <w:r>
        <w:t>После обновления v1.0.53 старые proxy outcomes/calibrators очищаются; ожидайте новую grid_label_v26 выборку.</w:t>
      </w:r>
    </w:p>
    <w:p>
      <w:r>
        <w:t>Операторское правило v1.0.53: не трактовать рекомендацию как биржевой ордер или подтверждение runtime-исполнимости.</w:t>
      </w:r>
    </w:p>
    <w:p>
      <w:pPr>
        <w:pStyle w:val="Heading1"/>
      </w:pPr>
      <w:r>
        <w:t>Обновление v1.0.50: время активации replacement-ордера</w:t>
      </w:r>
    </w:p>
    <w:p>
      <w:pPr>
        <w:pStyle w:val="ListBullet"/>
      </w:pPr>
      <w:r>
        <w:rPr>
          <w:sz w:val="20"/>
        </w:rPr>
        <w:t>Fill исходного grid-ордера и fill созданного после него replacement-ордера внутри одной минутной свечи не считаются доказанным циклом.</w:t>
      </w:r>
    </w:p>
    <w:p>
      <w:pPr>
        <w:pStyle w:val="ListBullet"/>
      </w:pPr>
      <w:r>
        <w:rPr>
          <w:sz w:val="20"/>
        </w:rPr>
        <w:t>OHLCV не содержит точного времени parent fill, задержки реакции бота, времени отправки/подтверждения replacement и его места в очереди Bybit.</w:t>
      </w:r>
    </w:p>
    <w:p>
      <w:pPr>
        <w:pStyle w:val="ListBullet"/>
      </w:pPr>
      <w:r>
        <w:rPr>
          <w:sz w:val="20"/>
        </w:rPr>
        <w:t>Если цена в той же свече пересекает только что созданный replacement, outcome недоступен с кодом intrabar_replacement_fill_timing_unobservable. Это NO EVIDENCE / NO TRADE, а не убыток и не прибыль.</w:t>
      </w:r>
    </w:p>
    <w:p>
      <w:pPr>
        <w:pStyle w:val="ListBullet"/>
      </w:pPr>
      <w:r>
        <w:rPr>
          <w:sz w:val="20"/>
        </w:rPr>
        <w:t>Replacement становится допустимым для proxy-модели с начала следующей свечи. Цикл, подтверждённый в разных свечах, оценивается по прежней PnL/fee/funding/volume-математике.</w:t>
      </w:r>
    </w:p>
    <w:p>
      <w:pPr>
        <w:pStyle w:val="ListBullet"/>
      </w:pPr>
      <w:r>
        <w:t>Даже межсвечное proxy-исполнение не доказывает queue priority, partial fills или фактическую задержку; это ограниченная историческая модель.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оператора Bybit Recommender v1.0.57</dc:title>
  <dc:subject>Policy-conditioned calibration and exchange-reconciled evidence boundary</dc:subject>
  <dc:creator>python-docx</dc:creator>
  <cp:keywords/>
  <dc:description>Updated for v1.0.55 audit iteration.</dc:description>
  <cp:lastModifiedBy/>
  <cp:revision>1</cp:revision>
  <dcterms:created xsi:type="dcterms:W3CDTF">2013-12-23T23:15:00Z</dcterms:created>
  <dcterms:modified xsi:type="dcterms:W3CDTF">2013-12-23T23:15:00Z</dcterms:modified>
  <cp:category/>
  <cp:version>1.0.17</cp:version>
</cp:coreProperties>
</file>