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DejaVu Sans" w:hAnsi="DejaVu Sans"/>
          <w:b/>
          <w:sz w:val="40"/>
        </w:rPr>
        <w:t>Инструкция оператора Bybit Recommender</w:t>
      </w:r>
    </w:p>
    <w:p>
      <w:pPr>
        <w:jc w:val="center"/>
      </w:pPr>
      <w:r>
        <w:rPr>
          <w:rFonts w:ascii="DejaVu Sans" w:hAnsi="DejaVu Sans"/>
          <w:b/>
          <w:color w:val="006666"/>
          <w:sz w:val="20"/>
        </w:rPr>
        <w:t>Только Bybit Linear USDT Perpetual / bot_type=futures_grid / recommendation + audit service</w:t>
      </w:r>
    </w:p>
    <w:p>
      <w:r>
        <w:rPr>
          <w:rFonts w:ascii="DejaVu Sans" w:hAnsi="DejaVu Sans"/>
          <w:b/>
        </w:rPr>
        <w:t>Ключевая граница: проект не является OMS/EMS и не выставляет реальные ордера на Bybit. Он формирует рекомендацию, проводит fail-closed preflight и ведёт audit trail. Финальный запуск делает оператор или внешний execution-layer после отдельной проверки биржи.</w:t>
      </w:r>
    </w:p>
    <w:p>
      <w:pPr>
        <w:pStyle w:val="Heading1"/>
      </w:pPr>
      <w:r>
        <w:t>1. Разрешённый продуктовый профиль</w:t>
      </w:r>
    </w:p>
    <w:p>
      <w:pPr>
        <w:pStyle w:val="ListBullet"/>
      </w:pPr>
      <w:r>
        <w:t>venue/category: linear; market: USDT perpetual futures; exact symbol format, например BTCUSDT, не BTC/USDT.</w:t>
      </w:r>
    </w:p>
    <w:p>
      <w:pPr>
        <w:pStyle w:val="ListBullet"/>
      </w:pPr>
      <w:r>
        <w:t>bot_type: только futures_grid; grid_type: arithmetic.</w:t>
      </w:r>
    </w:p>
    <w:p>
      <w:pPr>
        <w:pStyle w:val="ListBullet"/>
      </w:pPr>
      <w:r>
        <w:t>account_mode: unified; margin_mode: isolated.</w:t>
      </w:r>
    </w:p>
    <w:p>
      <w:pPr>
        <w:pStyle w:val="ListBullet"/>
      </w:pPr>
      <w:r>
        <w:t>direction: neutral, long или short. Neutral grid не получает directional TP/SL.</w:t>
      </w:r>
    </w:p>
    <w:p>
      <w:pPr>
        <w:pStyle w:val="ListBullet"/>
      </w:pPr>
      <w:r>
        <w:t>Любой unsupported bot_type, non-linear venue, cross/hedge mode, wrong symbol/category или status != Trading блокируется fail-closed.</w:t>
      </w:r>
    </w:p>
    <w:p>
      <w:pPr>
        <w:pStyle w:val="Heading1"/>
      </w:pPr>
      <w:r>
        <w:t>2. Операторский профиль счёта 100-500 USDT</w:t>
      </w:r>
    </w:p>
    <w:p>
      <w:pPr>
        <w:pStyle w:val="ListBullet"/>
      </w:pPr>
      <w:r>
        <w:t>1 running bot на счёт и один bot на symbol/publication-chain.</w:t>
      </w:r>
    </w:p>
    <w:p>
      <w:pPr>
        <w:pStyle w:val="ListBullet"/>
      </w:pPr>
      <w:r>
        <w:t>Рабочая маржа на bot: 10-15% депозита как верхний ориентир; резерв вне позиции минимум 75-85%.</w:t>
      </w:r>
    </w:p>
    <w:p>
      <w:pPr>
        <w:pStyle w:val="ListBullet"/>
      </w:pPr>
      <w:r>
        <w:t>Текущий shipped risk profile: min_leverage=3 и max_leverage=5. Интервал 3-5x leverage допустим только после прохождения всех guards и liquidation-buffer проверки.</w:t>
      </w:r>
    </w:p>
    <w:p>
      <w:pPr>
        <w:pStyle w:val="ListBullet"/>
      </w:pPr>
      <w:r>
        <w:t>Профиль 3-5x leverage является базовым actionable-диапазоном этой ревизии. Если max_leverage ниже 5 или min_leverage ниже 3, это осознанный safety-cap, при котором часть идей останется no_trade/blocked.</w:t>
      </w:r>
    </w:p>
    <w:p>
      <w:pPr>
        <w:pStyle w:val="ListBullet"/>
      </w:pPr>
      <w:r>
        <w:t>10x не является default для малого счёта и должен задаваться только отдельным осознанным RISK_LIMITS_JSON профилем.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vAlign w:val="center"/>
            <w:shd w:fill="1F4E79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/>
                <w:color w:val="FFFFFF"/>
                <w:sz w:val="18"/>
              </w:rPr>
              <w:t>Баланс</w:t>
            </w:r>
          </w:p>
        </w:tc>
        <w:tc>
          <w:tcPr>
            <w:tcW w:type="dxa" w:w="2592"/>
            <w:vAlign w:val="center"/>
            <w:shd w:fill="1F4E79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/>
                <w:color w:val="FFFFFF"/>
                <w:sz w:val="18"/>
              </w:rPr>
              <w:t>Маржа/бот, ориентир</w:t>
            </w:r>
          </w:p>
        </w:tc>
        <w:tc>
          <w:tcPr>
            <w:tcW w:type="dxa" w:w="2592"/>
            <w:vAlign w:val="center"/>
            <w:shd w:fill="1F4E79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/>
                <w:color w:val="FFFFFF"/>
                <w:sz w:val="18"/>
              </w:rPr>
              <w:t>Дневной стоп</w:t>
            </w:r>
          </w:p>
        </w:tc>
        <w:tc>
          <w:tcPr>
            <w:tcW w:type="dxa" w:w="2592"/>
            <w:vAlign w:val="center"/>
            <w:shd w:fill="1F4E79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/>
                <w:color w:val="FFFFFF"/>
                <w:sz w:val="18"/>
              </w:rPr>
              <w:t>Runtime leverage</w:t>
            </w:r>
          </w:p>
        </w:tc>
      </w:tr>
      <w:tr>
        <w:tc>
          <w:tcPr>
            <w:tcW w:type="dxa" w:w="2592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100-199 USDT</w:t>
            </w:r>
          </w:p>
        </w:tc>
        <w:tc>
          <w:tcPr>
            <w:tcW w:type="dxa" w:w="2592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10-20 USDT</w:t>
            </w:r>
          </w:p>
        </w:tc>
        <w:tc>
          <w:tcPr>
            <w:tcW w:type="dxa" w:w="2592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3-5 USDT</w:t>
            </w:r>
          </w:p>
        </w:tc>
        <w:tc>
          <w:tcPr>
            <w:tcW w:type="dxa" w:w="2592"/>
            <w:vAlign w:val="center"/>
          </w:tcPr>
          <w:p>
            <w:r>
              <w:rPr>
                <w:rFonts w:ascii="DejaVu Sans" w:hAnsi="DejaVu Sans"/>
                <w:sz w:val="18"/>
              </w:rPr>
              <w:t>3-5x после OK</w:t>
            </w:r>
            <w:r>
              <w:rPr>
                <w:rFonts w:ascii="DejaVu Sans" w:hAnsi="DejaVu Sans"/>
                <w:b w:val="0"/>
                <w:sz w:val="18"/>
              </w:rPr>
            </w:r>
          </w:p>
        </w:tc>
      </w:tr>
      <w:tr>
        <w:tc>
          <w:tcPr>
            <w:tcW w:type="dxa" w:w="2592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200-349 USDT</w:t>
            </w:r>
          </w:p>
        </w:tc>
        <w:tc>
          <w:tcPr>
            <w:tcW w:type="dxa" w:w="2592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20-35 USDT</w:t>
            </w:r>
          </w:p>
        </w:tc>
        <w:tc>
          <w:tcPr>
            <w:tcW w:type="dxa" w:w="2592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5-10 USDT</w:t>
            </w:r>
          </w:p>
        </w:tc>
        <w:tc>
          <w:tcPr>
            <w:tcW w:type="dxa" w:w="2592"/>
            <w:vAlign w:val="center"/>
          </w:tcPr>
          <w:p>
            <w:r>
              <w:rPr>
                <w:rFonts w:ascii="DejaVu Sans" w:hAnsi="DejaVu Sans"/>
                <w:sz w:val="18"/>
              </w:rPr>
              <w:t>3-5x после OK</w:t>
            </w:r>
            <w:r>
              <w:rPr>
                <w:rFonts w:ascii="DejaVu Sans" w:hAnsi="DejaVu Sans"/>
                <w:b w:val="0"/>
                <w:sz w:val="18"/>
              </w:rPr>
            </w:r>
          </w:p>
        </w:tc>
      </w:tr>
      <w:tr>
        <w:tc>
          <w:tcPr>
            <w:tcW w:type="dxa" w:w="2592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350-500 USDT</w:t>
            </w:r>
          </w:p>
        </w:tc>
        <w:tc>
          <w:tcPr>
            <w:tcW w:type="dxa" w:w="2592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35-60 USDT</w:t>
            </w:r>
          </w:p>
        </w:tc>
        <w:tc>
          <w:tcPr>
            <w:tcW w:type="dxa" w:w="2592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10-15 USDT</w:t>
            </w:r>
          </w:p>
        </w:tc>
        <w:tc>
          <w:tcPr>
            <w:tcW w:type="dxa" w:w="2592"/>
            <w:vAlign w:val="center"/>
          </w:tcPr>
          <w:p>
            <w:r>
              <w:rPr>
                <w:rFonts w:ascii="DejaVu Sans" w:hAnsi="DejaVu Sans"/>
                <w:sz w:val="18"/>
              </w:rPr>
              <w:t>3-5x после OK</w:t>
            </w:r>
            <w:r>
              <w:rPr>
                <w:rFonts w:ascii="DejaVu Sans" w:hAnsi="DejaVu Sans"/>
                <w:b w:val="0"/>
                <w:sz w:val="18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3. Минимальный порядок принятия решения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vAlign w:val="center"/>
            <w:shd w:fill="38761D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/>
                <w:color w:val="FFFFFF"/>
                <w:sz w:val="18"/>
              </w:rPr>
              <w:t>Шаг</w:t>
            </w:r>
          </w:p>
        </w:tc>
        <w:tc>
          <w:tcPr>
            <w:tcW w:type="dxa" w:w="3456"/>
            <w:vAlign w:val="center"/>
            <w:shd w:fill="38761D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/>
                <w:color w:val="FFFFFF"/>
                <w:sz w:val="18"/>
              </w:rPr>
              <w:t>Что смотреть</w:t>
            </w:r>
          </w:p>
        </w:tc>
        <w:tc>
          <w:tcPr>
            <w:tcW w:type="dxa" w:w="3456"/>
            <w:vAlign w:val="center"/>
            <w:shd w:fill="38761D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/>
                <w:color w:val="FFFFFF"/>
                <w:sz w:val="18"/>
              </w:rPr>
              <w:t>Норма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1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Проверить статус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Только effective recommended/active без blocking/critical статусов.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2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Проверить продукт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futures_grid + linear + USDT perpetual + unified + isolated + arithmetic.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3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Проверить свежесть идеи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Свежие ticker/candles; publication-chain не истёк; уровни не устарели.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4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Проверить цену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Live price внутри grid range и вне kill-switch; price_input_valid=true.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5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Проверить экономику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Net profit per grid выше fees + spread + slippage + adverse funding.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6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Проверить Bybit filters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tickSize, qtyStep, minQty, maxQty, minNotional, leverageFilter и status=Trading.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7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Проверить риск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Risk limits, daily stop, cooldown, liquidation buffer, max notional/margin.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8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Проверить LLM gate</w:t>
            </w:r>
          </w:p>
        </w:tc>
        <w:tc>
          <w:tcPr>
            <w:tcW w:type="dxa" w:w="3456"/>
            <w:vAlign w:val="center"/>
          </w:tcPr>
          <w:p>
            <w:r>
              <w:rPr>
                <w:rFonts w:ascii="DejaVu Sans" w:hAnsi="DejaVu Sans"/>
                <w:sz w:val="18"/>
              </w:rPr>
            </w:r>
            <w:r>
              <w:rPr>
                <w:rFonts w:ascii="DejaVu Sans" w:hAnsi="DejaVu Sans"/>
                <w:b w:val="0"/>
                <w:sz w:val="18"/>
              </w:rPr>
              <w:t>Если reviewer включён, нужен свежий ok verdict; pending/timeout = не запускать.</w:t>
            </w:r>
          </w:p>
        </w:tc>
      </w:tr>
    </w:tbl>
    <w:p>
      <w:pPr>
        <w:pStyle w:val="Heading1"/>
      </w:pPr>
      <w:r>
        <w:t>4. Directional TP/SL — обязательная семантика</w:t>
      </w:r>
    </w:p>
    <w:p>
      <w:pPr>
        <w:pStyle w:val="ListBullet"/>
      </w:pPr>
      <w:r>
        <w:t>Long: TP выше entry/reference, SL ниже entry/reference; прибыль считается при росте цены.</w:t>
      </w:r>
    </w:p>
    <w:p>
      <w:pPr>
        <w:pStyle w:val="ListBullet"/>
      </w:pPr>
      <w:r>
        <w:t>Short: TP ниже entry/reference, SL выше entry/reference; прибыль считается при падении цены.</w:t>
      </w:r>
    </w:p>
    <w:p>
      <w:pPr>
        <w:pStyle w:val="ListBullet"/>
      </w:pPr>
      <w:r>
        <w:t>Protective TP/SL intent должен быть reduce-only / close-only и не должен увеличивать или переворачивать экспозицию.</w:t>
      </w:r>
    </w:p>
    <w:p>
      <w:pPr>
        <w:pStyle w:val="ListBullet"/>
      </w:pPr>
      <w:r>
        <w:t>Если backend и UI расходятся по геометрии TP/SL, сделку не запускать до исправления и пересчёта.</w:t>
      </w:r>
    </w:p>
    <w:p>
      <w:pPr>
        <w:pStyle w:val="Heading1"/>
      </w:pPr>
      <w:r>
        <w:t>5. Немедленный NO TRADE / STOP</w:t>
      </w:r>
    </w:p>
    <w:p>
      <w:pPr>
        <w:pStyle w:val="ListBullet"/>
      </w:pPr>
      <w:r>
        <w:t>INVALID_MARKET_REFERENCE_PRICE, missing/stale ticker/candles, expired publication-chain.</w:t>
      </w:r>
    </w:p>
    <w:p>
      <w:pPr>
        <w:pStyle w:val="ListBullet"/>
      </w:pPr>
      <w:r>
        <w:t>Цена вышла за range или пересекла kill-switch.</w:t>
      </w:r>
    </w:p>
    <w:p>
      <w:pPr>
        <w:pStyle w:val="ListBullet"/>
      </w:pPr>
      <w:r>
        <w:t>Funding rate/interval неизвестны при material impact или funding ухудшает net edge до нуля.</w:t>
      </w:r>
    </w:p>
    <w:p>
      <w:pPr>
        <w:pStyle w:val="ListBullet"/>
      </w:pPr>
      <w:r>
        <w:t>Bybit metadata missing/wrong symbol/category/status; qtyStep/minQty/minNotional не проходят.</w:t>
      </w:r>
    </w:p>
    <w:p>
      <w:pPr>
        <w:pStyle w:val="ListBullet"/>
      </w:pPr>
      <w:r>
        <w:t>Market shock, flash-crash, squeeze, явный тренд против grid-range.</w:t>
      </w:r>
    </w:p>
    <w:p>
      <w:pPr>
        <w:pStyle w:val="ListBullet"/>
      </w:pPr>
      <w:r>
        <w:t>Daily stop, realized-loss cooldown, max position/margin/leverage cap превышены.</w:t>
      </w:r>
    </w:p>
    <w:p>
      <w:pPr>
        <w:pStyle w:val="ListBullet"/>
      </w:pPr>
      <w:r>
        <w:t>Нельзя reconciled exchange/local state, fills или защитные уровни.</w:t>
      </w:r>
    </w:p>
    <w:p>
      <w:pPr>
        <w:pStyle w:val="Heading1"/>
      </w:pPr>
      <w:r>
        <w:t>6. Итоговый чек-лист оператора</w:t>
      </w:r>
    </w:p>
    <w:p>
      <w:pPr>
        <w:pStyle w:val="ListBullet"/>
      </w:pPr>
      <w:r>
        <w:t>Не использовать весь депозит как маржу.</w:t>
      </w:r>
    </w:p>
    <w:p>
      <w:pPr>
        <w:pStyle w:val="ListBullet"/>
      </w:pPr>
      <w:r>
        <w:t>Не повышать плечо ради слабого сигнала.</w:t>
      </w:r>
    </w:p>
    <w:p>
      <w:pPr>
        <w:pStyle w:val="ListBullet"/>
      </w:pPr>
      <w:r>
        <w:t>Не обходить blocking/critical статусы manual override.</w:t>
      </w:r>
    </w:p>
    <w:p>
      <w:pPr>
        <w:pStyle w:val="ListBullet"/>
      </w:pPr>
      <w:r>
        <w:t>Не запускать без fresh ticker, fresh candles и актуальной publication-chain.</w:t>
      </w:r>
    </w:p>
    <w:p>
      <w:pPr>
        <w:pStyle w:val="ListBullet"/>
      </w:pPr>
      <w:r>
        <w:t>Не запускать без проверки range, kill-switch, liquidation buffer и Bybit filters.</w:t>
      </w:r>
    </w:p>
    <w:p>
      <w:pPr>
        <w:pStyle w:val="ListBullet"/>
      </w:pPr>
      <w:r>
        <w:t>Вести журнал причины входа, причины отказа и результата.</w:t>
      </w:r>
    </w:p>
    <w:p>
      <w:pPr>
        <w:pStyle w:val="ListBullet"/>
      </w:pPr>
      <w:r>
        <w:t>Для удалённого стенда ADMIN_API_KEY обязателен.</w:t>
      </w:r>
    </w:p>
    <w:p>
      <w:r>
        <w:rPr>
          <w:rFonts w:ascii="DejaVu Sans" w:hAnsi="DejaVu Sans"/>
          <w:i/>
          <w:sz w:val="17"/>
        </w:rPr>
        <w:t>Связанная инфографика: how_to_trade.png. Текстовый source-of-truth: docs/HOW_TO_TRADE_INFOGRAPHIC.md. Версия: 2026-06-15.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DejaVu Sans" w:hAnsi="DejaVu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DejaVu Sans" w:hAnsi="DejaVu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DejaVu Sans" w:hAnsi="DejaVu San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