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1.0.34 (neutral opening-order margin reservation).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commitment: сумма цен всех начальных Buy/Sell × qty. Maximum one-way position считается отдельно как max(Buy slots, Sell slots); противоположная сторона не считается бесплатной. LONG/SHORT commitment включает фактический initial directional inventory и adverse-side opening orders. Recommender, auto-snap, preflight, runtime caps и outcome denominator используют одну topology. Для свечи с material high/low сравниваются O→H→L→C и O→L→H→C; если ledger, stop или PnL различаются, label unavailable. Kill-switch завершает ledger; gap через boundary не оценивается по недостижимой цене. Текущий контракт — grid_label_v15; первый запуск v1.0.34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minNotional, active resting-order count, full initial opening-order committed slots/notional, maximum one-way position exposure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