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t>Версия документа: 1.2.0 (выбор grid или single-position trend по доказанной risk-adjusted ожидаемой прибыльности; без отправки биржевых ордеров)</w:t>
      </w:r>
    </w:p>
    <w:p>
      <w:r>
        <w:t>Назначение: регламент чтения двух strategy families, решения strategy-profitability router и операторского подтверждения внешнего grid-плана либо одной directional trend-позиции. Документ не является инструкцией по автоматическому выставлению ордеров Bybit.</w:t>
      </w:r>
    </w:p>
    <w:p>
      <w:r>
        <w:t>Граница системы. Репозиторий является recommendation/audit service, not OMS/EMS. Он проверяет план по публичным Bybit metadata, текущей цене, funding и внутренним risk limits, но не выставляет ордера, не знает очередь, реальные partial fills, состояние аккаунта или фактическую доступность маржи. Статус executed означает созданный внутренний audit-instance, а не подтверждённое биржевое исполнение.</w:t>
      </w:r>
    </w:p>
    <w:p>
      <w:pPr>
        <w:pStyle w:val="Heading1"/>
        <w:spacing w:before="200" w:after="100"/>
      </w:pPr>
      <w:r>
        <w:t>Выбор стратегии v1.2.0</w:t>
      </w:r>
    </w:p>
    <w:p>
      <w:pPr>
        <w:pStyle w:val="ListBullet"/>
      </w:pPr>
      <w:r>
        <w:t>Для одного symbol и timestamp независимо оцениваются futures_grid и directional_trend. Их raw score не сравнивается: он имеет разную экономическую семантику.</w:t>
      </w:r>
    </w:p>
    <w:p>
      <w:pPr>
        <w:pStyle w:val="ListBullet"/>
      </w:pPr>
      <w:r>
        <w:t>Strategy-profitability router допускает модель только при bot-specific fitted calibrator, exact-policy fingerprint, положительной selected-policy и terminal-holdout денежной ожидаемости, положительных lower bounds и доступном expected shortfall.</w:t>
      </w:r>
    </w:p>
    <w:p>
      <w:pPr>
        <w:pStyle w:val="ListBullet"/>
      </w:pPr>
      <w:r>
        <w:t>futures_grid остаётся сеткой. Его long/short варианты — directional grid. directional_trend — одна long/short позиция с entry, TP и SL, без grid levels, усреднения и pyramiding.</w:t>
      </w:r>
    </w:p>
    <w:p>
      <w:pPr>
        <w:pStyle w:val="ListBullet"/>
      </w:pPr>
      <w:r>
        <w:t>Если utility одной стратегии доказанно выше, она становится операторским кандидатом. При недоказанной прибыльности или слишком малом преимуществе router выбирает НЕ ТОРГОВАТЬ. Проигравшая модель сохраняется как paired shadow_competitor для отдельного outcome и дальнейшего обучения.</w:t>
      </w:r>
    </w:p>
    <w:p>
      <w:pPr>
        <w:pStyle w:val="ListBullet"/>
      </w:pPr>
      <w:r>
        <w:t>Подтверждение directional_trend создаёт external_single_order_audit и directional-single-order-package-v1 для ручного или внешнего executor. Обязательные признаки: recommendation_only=true и exchange_order_submitted=false; сам сервис Bybit order не отправляет.</w:t>
      </w:r>
    </w:p>
    <w:p>
      <w:pPr>
        <w:pStyle w:val="Heading1"/>
        <w:spacing w:before="200" w:after="100"/>
      </w:pPr>
      <w:r>
        <w:rPr>
          <w:b/>
          <w:sz w:val="32"/>
        </w:rPr>
        <w:t>Свежесть рекомендации и окно исхода v1.0.78</w:t>
      </w:r>
    </w:p>
    <w:p>
      <w:pPr>
        <w:pStyle w:val="ListBullet"/>
      </w:pPr>
      <w:r>
        <w:rPr>
          <w:sz w:val="21"/>
        </w:rPr>
        <w:t>RECO_TTL_SEC — это срок операторской актуальности конкретной publication-chain. После его истечения старую рекомендацию исполнять нельзя; новый подтверждённый сигнал может быть опубликован как свежая рекомендация.</w:t>
      </w:r>
    </w:p>
    <w:p>
      <w:pPr>
        <w:pStyle w:val="ListBullet"/>
      </w:pPr>
      <w:r>
        <w:rPr>
          <w:sz w:val="21"/>
        </w:rPr>
        <w:t>12-часовой label horizon — отдельное статистическое окно псевдо-позиции futures_grid. Пока оно не завершилось, свежая операторская публикация может иметь новый publication_root_rec_id, но сохраняет прежний outcome_root_rec_id и не создаёт дополнительный обучающий исход.</w:t>
      </w:r>
    </w:p>
    <w:p>
      <w:pPr>
        <w:pStyle w:val="ListBullet"/>
      </w:pPr>
      <w:r>
        <w:rPr>
          <w:sz w:val="21"/>
        </w:rPr>
        <w:t>12 часов не считаются доказанно оптимальными. Переход на 6 или 24 часа требует отдельного versioned purged walk-forward сравнения; простое изменение константы меняет target, срок готовности метки, embargo и funding exposure.</w:t>
      </w:r>
    </w:p>
    <w:p>
      <w:pPr>
        <w:pStyle w:val="ListBullet"/>
      </w:pPr>
      <w:r>
        <w:rPr>
          <w:sz w:val="21"/>
        </w:rPr>
        <w:t>В истории рекомендаций различайте «операторскую цепочку» и «независимое окно исхода». Несколько свежих публикаций могут относиться к одному outcome-window — это штатно и предотвращает псевдорепликацию данных.</w:t>
      </w:r>
    </w:p>
    <w:p>
      <w:pPr>
        <w:pStyle w:val="Heading1"/>
        <w:spacing w:before="200" w:after="100"/>
      </w:pPr>
      <w:r>
        <w:rPr>
          <w:b/>
          <w:sz w:val="32"/>
        </w:rPr>
        <w:t>Проверка здоровья системы v1.0.71</w:t>
      </w:r>
    </w:p>
    <w:p>
      <w:pPr>
        <w:pStyle w:val="ListBullet"/>
      </w:pPr>
      <w:r>
        <w:rPr>
          <w:sz w:val="21"/>
        </w:rP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rPr>
          <w:sz w:val="21"/>
        </w:rP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rPr>
          <w:sz w:val="21"/>
        </w:rP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rPr>
          <w:sz w:val="21"/>
        </w:rP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spacing w:before="200" w:after="100"/>
      </w:pPr>
      <w:r>
        <w:rPr>
          <w:b/>
          <w:sz w:val="32"/>
        </w:rPr>
        <w:t>Как читать русский интерфейс v1.0.64</w:t>
      </w:r>
    </w:p>
    <w:p>
      <w:pPr/>
      <w:r>
        <w:rPr>
          <w:sz w:val="21"/>
        </w:rP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rPr>
          <w:sz w:val="21"/>
        </w:rPr>
        <w:t>Покупка (рост) — направление, которое выигрывает при росте цены; внутреннее значение long.</w:t>
      </w:r>
    </w:p>
    <w:p>
      <w:pPr>
        <w:pStyle w:val="ListBullet"/>
      </w:pPr>
      <w:r>
        <w:rPr>
          <w:sz w:val="21"/>
        </w:rPr>
        <w:t>Продажа (снижение) — направление, которое выигрывает при снижении цены; внутреннее значение short.</w:t>
      </w:r>
    </w:p>
    <w:p>
      <w:pPr>
        <w:pStyle w:val="ListBullet"/>
      </w:pPr>
      <w:r>
        <w:rPr>
          <w:sz w:val="21"/>
        </w:rPr>
        <w:t>Нейтральная сетка — торговля внутри диапазона без единственной направленной цели прибыли; внутреннее значение neutral.</w:t>
      </w:r>
    </w:p>
    <w:p>
      <w:pPr>
        <w:pStyle w:val="ListBullet"/>
      </w:pPr>
      <w:r>
        <w:rPr>
          <w:sz w:val="21"/>
        </w:rP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rPr>
          <w:sz w:val="21"/>
        </w:rP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rPr>
          <w:sz w:val="21"/>
        </w:rP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rPr>
          <w:sz w:val="21"/>
        </w:rPr>
        <w:t>Предзапусковая проверка — последняя проверка цены, диапазона, количества, маржи и риска перед операторским подтверждением.</w:t>
      </w:r>
    </w:p>
    <w:p>
      <w:pPr>
        <w:pStyle w:val="ListBullet"/>
      </w:pPr>
      <w:r>
        <w:rPr>
          <w:sz w:val="21"/>
        </w:rPr>
        <w:t>Значок вопроса открывает краткую подсказку. Полные числа, пороги, исходные сообщения и машинные коды находятся в окне «Детали».</w:t>
      </w:r>
    </w:p>
    <w:p>
      <w:pPr>
        <w:pStyle w:val="ListBullet"/>
      </w:pPr>
      <w:r>
        <w:rPr>
          <w:sz w:val="21"/>
        </w:rP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rPr>
          <w:sz w:val="21"/>
        </w:rP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spacing w:before="200" w:after="100"/>
      </w:pPr>
      <w:r>
        <w:rPr>
          <w:b/>
          <w:sz w:val="32"/>
        </w:rPr>
        <w:t>Policy-conditioned evidence contract</w:t>
      </w:r>
    </w:p>
    <w:p>
      <w:pPr/>
      <w:r>
        <w:rPr>
          <w:sz w:val="21"/>
        </w:rP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paired exploration разделены. Статистические calibration gates не должны делать сбор evidence логически невозможным; hard data, market, risk и economic veto по-прежнему исключают candidate root. Не выбранный router-ом кандидат может сохраняться только как неисполняемый shadow_competitor.</w:t>
      </w:r>
    </w:p>
    <w:p>
      <w:pPr/>
      <w:r>
        <w:rPr>
          <w:sz w:val="21"/>
        </w:rP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spacing w:before="200" w:after="100"/>
      </w:pPr>
      <w:r>
        <w:rPr>
          <w:b/>
          <w:sz w:val="32"/>
        </w:rPr>
        <w:t>История исходов и текущая model lineage</w:t>
      </w:r>
    </w:p>
    <w:p>
      <w:r>
        <w:rPr>
          <w:sz w:val="21"/>
        </w:rP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rPr>
          <w:sz w:val="21"/>
        </w:rP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spacing w:before="200" w:after="100"/>
      </w:pPr>
      <w:r>
        <w:rPr>
          <w:b/>
          <w:sz w:val="32"/>
        </w:rPr>
        <w:t>Граница исторического моделирования</w:t>
      </w:r>
    </w:p>
    <w:p>
      <w:pPr/>
      <w:r>
        <w:rPr>
          <w:sz w:val="21"/>
        </w:rP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t>В reasons.simulation_scope исторического proxy должны быть: mode=historical_proxy_only, runtime_order_submission=false, runtime_execution_validation=not_performed, exchange_fill_attestation=not_available. Для operator audit v1.2.0 отдельно хранится validated execution package, но биржевое исполнение всё равно не подтверждается.</w:t>
      </w:r>
    </w:p>
    <w:p>
      <w:pPr/>
      <w:r>
        <w:rPr>
          <w:sz w:val="21"/>
        </w:rP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spacing w:before="200" w:after="100"/>
      </w:pPr>
      <w:r>
        <w:rPr>
          <w:b/>
          <w:sz w:val="32"/>
        </w:rPr>
        <w:t>Объёмное подтверждение proxy fills</w:t>
      </w:r>
    </w:p>
    <w:p>
      <w:pPr/>
      <w:r>
        <w:rPr>
          <w:sz w:val="21"/>
        </w:rP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rPr>
          <w:sz w:val="21"/>
        </w:rP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rPr>
          <w:sz w:val="21"/>
        </w:rP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spacing w:before="160" w:after="80"/>
      </w:pPr>
      <w:r>
        <w:rPr>
          <w:b/>
          <w:sz w:val="26"/>
        </w:rPr>
        <w:t>Ликвидность на границе horizon и при защитном закрытии</w:t>
      </w:r>
    </w:p>
    <w:p>
      <w:r>
        <w:rPr>
          <w:sz w:val="21"/>
        </w:rP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rPr>
          <w:sz w:val="21"/>
        </w:rP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rPr>
          <w:sz w:val="21"/>
        </w:rP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spacing w:before="200" w:after="100"/>
      </w:pPr>
      <w:r>
        <w:rPr>
          <w:b/>
          <w:sz w:val="32"/>
        </w:rPr>
        <w:t>Консервативная цена аварийная граница выхода</w:t>
      </w:r>
    </w:p>
    <w:p>
      <w:pPr/>
      <w:r>
        <w:rPr>
          <w:sz w:val="21"/>
        </w:rP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rPr>
          <w:sz w:val="21"/>
        </w:rP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rPr>
          <w:sz w:val="21"/>
        </w:rP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spacing w:before="200" w:after="100"/>
      </w:pPr>
      <w:r>
        <w:rPr>
          <w:b/>
          <w:sz w:val="32"/>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t>Для operator lifecycle поддерживаются Bybit Linear USDT futures_grid и выбранный router-ом directional_trend. Grid требует arithmetic grid contract; trend требует single-position TP/SL contract и isolated margin. Spot, inverse, options и non-USDT блокируются. Реальная отправка order остаётся обязанностью внешнего/manual executor.</w:t>
      </w:r>
    </w:p>
    <w:p>
      <w:pPr>
        <w:pStyle w:val="ListBullet"/>
      </w:pPr>
      <w:r>
        <w:rPr>
          <w:sz w:val="21"/>
        </w:rP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spacing w:before="200" w:after="100"/>
      </w:pPr>
      <w:r>
        <w:rPr>
          <w:b/>
          <w:sz w:val="32"/>
        </w:rPr>
        <w:t>Устойчивость сигнала и идентичность рекомендации</w:t>
      </w:r>
    </w:p>
    <w:p>
      <w:pPr/>
      <w:r>
        <w:t>Actionable strategy допускается только после требуемых последовательно закрытых evidence snapshots. Повторный цикл на той же закрытой свече не является новым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rPr>
          <w:sz w:val="21"/>
        </w:rP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spacing w:before="200" w:after="100"/>
      </w:pPr>
      <w:r>
        <w:rPr>
          <w:rFonts w:ascii="Arial" w:hAnsi="Arial"/>
          <w:b/>
          <w:sz w:val="32"/>
        </w:rPr>
        <w:t>Метрики принятия решения v1.0.63</w:t>
      </w:r>
    </w:p>
    <w:p>
      <w:pPr/>
      <w:r>
        <w:rPr>
          <w:rFonts w:ascii="Arial" w:hAnsi="Arial"/>
          <w:sz w:val="21"/>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rPr>
          <w:sz w:val="21"/>
        </w:rP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rPr>
          <w:sz w:val="21"/>
        </w:rP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rPr>
          <w:sz w:val="21"/>
        </w:rP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rPr>
          <w:sz w:val="21"/>
        </w:rP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spacing w:before="200" w:after="100"/>
      </w:pPr>
      <w:r>
        <w:rPr>
          <w:b/>
          <w:sz w:val="32"/>
        </w:rPr>
        <w:t>Purged OOF для feature LogReg</w:t>
      </w:r>
    </w:p>
    <w:p>
      <w:r>
        <w:rPr>
          <w:sz w:val="21"/>
        </w:rP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rPr>
          <w:sz w:val="21"/>
        </w:rP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rPr>
          <w:sz w:val="21"/>
        </w:rP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rPr>
          <w:sz w:val="21"/>
        </w:rP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spacing w:before="200" w:after="100"/>
      </w:pPr>
      <w:r>
        <w:rPr>
          <w:b/>
          <w:sz w:val="32"/>
        </w:rPr>
        <w:t>Независимость временных evidence-кластеров</w:t>
      </w:r>
    </w:p>
    <w:p>
      <w:r>
        <w:rPr>
          <w:sz w:val="21"/>
        </w:rP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rPr>
          <w:sz w:val="21"/>
        </w:rP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НЕ ТОРГОВАТЬ с PROXY_MONETARY_EXPECTANCY_UNPROVEN. Высокий score, win rate или десятки коррелированных символов не являются основанием для обхода.</w:t>
      </w:r>
    </w:p>
    <w:p>
      <w:pPr>
        <w:pStyle w:val="Heading1"/>
        <w:spacing w:before="200" w:after="100"/>
      </w:pPr>
      <w:r>
        <w:rPr>
          <w:b/>
          <w:sz w:val="32"/>
        </w:rPr>
        <w:t>Денежное ожидание калибровки</w:t>
      </w:r>
    </w:p>
    <w:p>
      <w:pPr/>
      <w:r>
        <w:rPr>
          <w:sz w:val="21"/>
        </w:rP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grid или trend допускается только когда его собственная exact-policy matured-return выборка имеет достаточный Kish effective sample size и положительную одностороннюю 95% Student-t lower bound, а terminal holdout подтверждает денежную политику. Каждый matured policy root входит в denominator как labeled, censored или unresolved. Censoring/unresolved evidence нельзя скрывать ради допуска.</w:t>
      </w:r>
    </w:p>
    <w:p>
      <w:pPr/>
      <w:r>
        <w:rPr>
          <w:sz w:val="21"/>
        </w:rP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spacing w:before="200" w:after="100"/>
      </w:pPr>
      <w:r>
        <w:rPr>
          <w:b/>
          <w:sz w:val="32"/>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rPr>
          <w:sz w:val="21"/>
        </w:rP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spacing w:before="200" w:after="100"/>
      </w:pPr>
      <w:r>
        <w:t>Grid exits и single-position trend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spacing w:before="200" w:after="100"/>
      </w:pPr>
      <w:r>
        <w:t>Proxy outcome, paired competitor и раздельная калибровка</w:t>
      </w:r>
    </w:p>
    <w:p>
      <w:pPr>
        <w:pStyle w:val="ListBullet"/>
      </w:pPr>
      <w:r>
        <w:rPr>
          <w:sz w:val="21"/>
        </w:rP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21"/>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rPr>
          <w:sz w:val="21"/>
        </w:rPr>
        <w:t>Outcome contract остаётся grid_label_v26. Исторические outcomes сохраняются как аудит. Текущая recommendation lineage bybit-taxonomy-v11-separated-operator-outcome-lineage принимает только verified exact-policy outcomes; bot/global calibrators используют v21. Direction v14 использует horizon-price target, но его Platt audit-only до отдельного chronological skill gate и не меняет decision feature.</w:t>
      </w:r>
    </w:p>
    <w:p>
      <w:pPr>
        <w:pStyle w:val="ListBullet"/>
      </w:pPr>
      <w:r>
        <w:rPr>
          <w:sz w:val="21"/>
        </w:rP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spacing w:before="200" w:after="100"/>
      </w:pPr>
      <w:r>
        <w:rPr>
          <w:b/>
          <w:sz w:val="32"/>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rPr>
          <w:sz w:val="21"/>
        </w:rP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spacing w:before="200" w:after="100"/>
      </w:pPr>
      <w:r>
        <w:rPr>
          <w:b/>
          <w:sz w:val="32"/>
        </w:rPr>
        <w:t>НЕ ТОРГОВАТЬ / BLOCKED условия</w:t>
      </w:r>
    </w:p>
    <w:p>
      <w:pPr>
        <w:pStyle w:val="ListBullet"/>
      </w:pPr>
      <w:r>
        <w:rPr>
          <w:sz w:val="21"/>
        </w:rPr>
        <w:t>Hard blocked: MEAN_REVERSION_EVIDENCE_INSUFFICIENT, INVALID_MARKET_REFERENCE_PRICE и иные data/risk/model failures. Strategy no_trade: MEAN_REVERSION_EDGE_UNCONFIRMED либо непрохождение score/confidence/economics.</w:t>
      </w:r>
    </w:p>
    <w:p>
      <w:pPr>
        <w:pStyle w:val="ListBullet"/>
      </w:pPr>
      <w:r>
        <w:rPr>
          <w:sz w:val="21"/>
        </w:rPr>
        <w:t>Устаревшая operator publication-chain, stale market data, live ticker вне range/аварийной границы выхода, отсутствующая пара bid/ask, spread &gt;14 bps, recurring grid edge &lt;2 bps или gross/fee coverage &lt;=1,10x. Истечение operator TTL блокирует запуск старой рекомендации, но не создаёт новый независимый outcome-root до конца label horizon.</w:t>
      </w:r>
    </w:p>
    <w:p>
      <w:pPr>
        <w:pStyle w:val="ListBullet"/>
      </w:pPr>
      <w:r>
        <w:rPr>
          <w:sz w:val="21"/>
        </w:rP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rPr>
          <w:sz w:val="21"/>
        </w:rP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spacing w:before="200" w:after="100"/>
      </w:pPr>
      <w:r>
        <w:rPr>
          <w:b/>
          <w:sz w:val="32"/>
        </w:rPr>
        <w:t>Практическая последовательность</w:t>
      </w:r>
    </w:p>
    <w:p>
      <w:r>
        <w:rPr>
          <w:sz w:val="21"/>
        </w:rPr>
        <w:t>1. Проверить status/effective_status: blocked означает жёсткий data/risk/model отказ; no_trade означает неподтверждённый тезис или статистический/economic gate.</w:t>
      </w:r>
    </w:p>
    <w:p>
      <w:r>
        <w:rPr>
          <w:sz w:val="21"/>
        </w:rPr>
        <w:t>2. Сверить полноту исторических данных, features_ref_ts, horizon, cost/платёж финансирования assumptions, simulation_scope и денежные/временные diagnostics.</w:t>
      </w:r>
    </w:p>
    <w:p>
      <w:r>
        <w:rPr>
          <w:sz w:val="21"/>
        </w:rPr>
        <w:t>3. Не интерпретировать trade_plan как готовый биржевой payload: это геометрия исторической симуляции.</w:t>
      </w:r>
    </w:p>
    <w:p>
      <w:r>
        <w:rPr>
          <w:sz w:val="21"/>
        </w:rP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либо проигравший router-кандидат может получить outcome_policy.sample_role=shadow_no_trade/shadow_competitor и после horizon войти в соответствующую исследовательскую proxy-выборку. Это не реальный запуск и не exchange fill.</w:t>
      </w:r>
    </w:p>
    <w:p>
      <w:pPr>
        <w:pStyle w:val="ListBullet"/>
      </w:pPr>
      <w:r>
        <w:t>Необученный, цензурированный или не подтвердивший terminal held-out skill bot-specific calibrator означает НЕ ТОРГОВАТЬ: raw confidence audit-only. Grid и trend проходят эти условия отдельно; положительная модель одной стратегии не разрешает использовать неподтверждённую другую. Подтверждённый negative expectancy остаётся консервативным veto.</w:t>
      </w:r>
    </w:p>
    <w:p>
      <w:pPr>
        <w:pStyle w:val="ListBullet"/>
      </w:pPr>
      <w:r>
        <w:rPr>
          <w:sz w:val="21"/>
        </w:rP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spacing w:before="160" w:after="80"/>
      </w:pPr>
      <w:r>
        <w:rPr>
          <w:b/>
          <w:sz w:val="26"/>
        </w:rPr>
        <w:t>Нет положительных модельных рекомендаций</w:t>
      </w:r>
    </w:p>
    <w:p>
      <w:pPr>
        <w:pStyle w:val="Heading1"/>
        <w:spacing w:before="200" w:after="100"/>
      </w:pPr>
      <w:r>
        <w:rPr>
          <w:b/>
          <w:sz w:val="32"/>
        </w:rPr>
        <w:t>Опциональная внешняя post-hoc сверка PnL</w:t>
      </w:r>
    </w:p>
    <w:p>
      <w:pPr>
        <w:pStyle w:val="ListBullet"/>
      </w:pPr>
      <w:r>
        <w:rPr>
          <w:sz w:val="21"/>
        </w:rP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rPr>
          <w:sz w:val="21"/>
        </w:rP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rPr>
          <w:sz w:val="21"/>
        </w:rP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rPr>
          <w:sz w:val="21"/>
        </w:rP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spacing w:before="200" w:after="100"/>
      </w:pPr>
      <w:r>
        <w:rPr>
          <w:b/>
          <w:sz w:val="32"/>
        </w:rPr>
        <w:t>Опциональная terminal finalization внешнего evidence</w:t>
      </w:r>
    </w:p>
    <w:p>
      <w:pPr>
        <w:pStyle w:val="ListBullet"/>
      </w:pPr>
      <w:r>
        <w:rPr>
          <w:sz w:val="21"/>
        </w:rP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rPr>
          <w:sz w:val="21"/>
        </w:rPr>
        <w:t>Проверяйте поля total_pnl_finalized=true, position_flat=true и net_position_qty около нуля. validation_ineligible_reasons объясняет отсутствие eligibility.</w:t>
      </w:r>
    </w:p>
    <w:p>
      <w:pPr>
        <w:pStyle w:val="ListBullet"/>
      </w:pPr>
      <w:r>
        <w:rPr>
          <w:sz w:val="21"/>
        </w:rPr>
        <w:t>Stopped status сам по себе не означает завершённый PnL. Любой unmatched Buy/Sell quantity означает residual inventory и исключает bot из live-validation.</w:t>
      </w:r>
    </w:p>
    <w:p>
      <w:pPr>
        <w:pStyle w:val="Heading1"/>
        <w:spacing w:before="200" w:after="100"/>
      </w:pPr>
      <w:r>
        <w:rPr>
          <w:b/>
          <w:sz w:val="32"/>
        </w:rPr>
        <w:t>Опциональный stop-критерий по внешнему evidence</w:t>
      </w:r>
    </w:p>
    <w:p>
      <w:pPr>
        <w:pStyle w:val="ListBullet"/>
      </w:pPr>
      <w:r>
        <w:t>При отдельно включённой post-hoc validation в gate входят только terminally finalized evidence той же model/policy lineage. Grid identity: bybit-taxonomy-v11-separated-operator-outcome-lineage; historical trend contract identity: bybit-taxonomy-v11-separated-operator-outcome-lineage+directional-trend-v1. Ключи logreg_futures_grid_v21 и logreg_directional_trend_v1 не объединяются. Слово shadow в историческом trend contract id не является runtime permission.</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spacing w:before="200" w:after="100"/>
      </w:pPr>
      <w:r>
        <w:rPr>
          <w:b/>
          <w:sz w:val="32"/>
        </w:rPr>
        <w:t>Историческая справка v1.0.48: обязательная exchange geometry (отменена в v1.0.51)</w:t>
      </w:r>
    </w:p>
    <w:p>
      <w:r>
        <w:rPr>
          <w:sz w:val="21"/>
        </w:rP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Диапазон, reference, аварийная граница выхода и grid step должны быть кратны tick_size.</w:t>
      </w:r>
    </w:p>
    <w:p>
      <w:pPr>
        <w:pStyle w:val="ListBullet"/>
        <w:spacing w:after="60"/>
      </w:pPr>
      <w:r>
        <w:rPr>
          <w:sz w:val="21"/>
        </w:rPr>
        <w:t>Количество на ордер должно быть кратно qty_step и не ниже min_order_qty/min_notional.</w:t>
      </w:r>
    </w:p>
    <w:p>
      <w:pPr>
        <w:pStyle w:val="ListBullet"/>
        <w:spacing w:after="60"/>
      </w:pPr>
      <w:r>
        <w:rPr>
          <w:sz w:val="21"/>
        </w:rP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rPr>
          <w:sz w:val="21"/>
        </w:rPr>
        <w:t>Точное касание свечой лимитного уровня не считается исполнением: Buy требует движения ниже уровня, Sell - выше.</w:t>
      </w:r>
    </w:p>
    <w:p>
      <w:pPr>
        <w:pStyle w:val="ListBullet"/>
        <w:spacing w:after="60"/>
      </w:pPr>
      <w:r>
        <w:rPr>
          <w:sz w:val="21"/>
        </w:rPr>
        <w:t>Даже strict trade-through остаётся proxy и не доказывает queue priority, объём и partial fills.</w:t>
      </w:r>
    </w:p>
    <w:p>
      <w:pPr>
        <w:pStyle w:val="ListBullet"/>
        <w:spacing w:after="60"/>
      </w:pPr>
      <w:r>
        <w:rPr>
          <w:sz w:val="21"/>
        </w:rPr>
        <w:t>После обновления v1.0.53 старые proxy outcomes/calibrators очищаются; ожидайте новую grid_label_v26 выборку.</w:t>
      </w:r>
    </w:p>
    <w:p>
      <w:r>
        <w:rPr>
          <w:sz w:val="21"/>
        </w:rPr>
        <w:t>Операторское правило v1.0.53: не трактовать рекомендацию как биржевой ордер или подтверждение runtime-исполнимости.</w:t>
      </w:r>
    </w:p>
    <w:p>
      <w:pPr>
        <w:pStyle w:val="Heading1"/>
        <w:spacing w:before="200" w:after="100"/>
      </w:pPr>
      <w:r>
        <w:rPr>
          <w:b/>
          <w:sz w:val="32"/>
        </w:rPr>
        <w:t>Обновление v1.0.50: время активации replacement-ордера</w:t>
      </w:r>
    </w:p>
    <w:p>
      <w:pPr>
        <w:pStyle w:val="ListBullet"/>
      </w:pPr>
      <w:r>
        <w:rPr>
          <w:sz w:val="21"/>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1"/>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1"/>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1"/>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rPr>
          <w:sz w:val="21"/>
        </w:rPr>
        <w:t>Даже межсвечное proxy-исполнение не доказывает queue priority, partial fills или фактическую задержку; это ограниченная историческая модель.</w:t>
      </w:r>
    </w:p>
    <w:p>
      <w:pPr>
        <w:pStyle w:val="Heading2"/>
        <w:spacing w:before="160" w:after="80"/>
      </w:pPr>
      <w:r>
        <w:rPr>
          <w:rFonts w:ascii="Arial" w:hAnsi="Arial"/>
          <w:b/>
          <w:sz w:val="26"/>
        </w:rPr>
        <w:t>Восстановление исходов при включённом LLM (v1.0.62)</w:t>
      </w:r>
    </w:p>
    <w:p>
      <w:r>
        <w:t>LLM reviewer проверяет потенциально исполнимого победителя router. Не выбранные/no_trade paired roots могут рассчитывать proxy outcome без LLM только по явно разрешённому исследовательскому контракту; это не делает их исполнимыми. Actionable winner при включённом LLM остаётся fail-closed до завершённого verdict.</w:t>
      </w:r>
    </w:p>
    <w:p>
      <w:r>
        <w:rPr>
          <w:rFonts w:ascii="Arial" w:hAnsi="Arial"/>
          <w:sz w:val="21"/>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1"/>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spacing w:before="200" w:after="100"/>
      </w:pPr>
      <w:r>
        <w:rPr>
          <w:b/>
          <w:sz w:val="32"/>
        </w:rPr>
        <w:t>Дополнение версии 1.0.69: проверка после перезапуска</w:t>
      </w:r>
    </w:p>
    <w:p>
      <w:r>
        <w:rPr>
          <w:sz w:val="21"/>
        </w:rP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rPr>
          <w:sz w:val="21"/>
        </w:rP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rPr>
          <w:sz w:val="21"/>
        </w:rP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rPr>
          <w:sz w:val="21"/>
        </w:rP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p>
      <w:pPr>
        <w:pStyle w:val="Heading1"/>
        <w:spacing w:before="200" w:after="100"/>
      </w:pPr>
      <w:r>
        <w:rPr>
          <w:b/>
          <w:sz w:val="32"/>
        </w:rPr>
        <w:t>Безопасный перезапуск и передача блокировок v1.0.71</w:t>
      </w:r>
    </w:p>
    <w:p>
      <w:pPr>
        <w:pStyle w:val="ListBullet"/>
      </w:pPr>
      <w:r>
        <w:rPr>
          <w:sz w:val="21"/>
        </w:rPr>
        <w:t>При штатном завершении приложения фоновые контуры освобождают только принадлежащие текущему процессу блокировки. Новый процесс не должен ожидать полный срок блокировки предыдущего PID.</w:t>
      </w:r>
    </w:p>
    <w:p>
      <w:pPr>
        <w:pStyle w:val="ListBullet"/>
      </w:pPr>
      <w:r>
        <w:rPr>
          <w:sz w:val="21"/>
        </w:rPr>
        <w:t>Состояние «передача управления» означает штатное ожидание безопасного перехвата блокировки. Оно не означает свежесть рынка и не разрешает торговлю по устаревшим данным.</w:t>
      </w:r>
    </w:p>
    <w:p>
      <w:pPr>
        <w:pStyle w:val="ListBullet"/>
      </w:pPr>
      <w:r>
        <w:rPr>
          <w:sz w:val="21"/>
        </w:rPr>
        <w:t>В окне здоровья проверяйте владельца блокировки сборщика, срок блокировки и время до разрешённого перехвата. Не выполняйте повторные перезапуски, пока идёт штатная передача управления.</w:t>
      </w:r>
    </w:p>
    <w:p>
      <w:pPr>
        <w:pStyle w:val="ListBullet"/>
      </w:pPr>
      <w:r>
        <w:rPr>
          <w:sz w:val="21"/>
        </w:rPr>
        <w:t>После передачи должны одновременно появиться: блокировка принадлежит текущему процессу, цикл сборщика текущего процесса — «Да», публикация текущего процесса — «Да», устаревших инструментов — 0.</w:t>
      </w:r>
    </w:p>
    <w:p>
      <w:pPr>
        <w:pStyle w:val="Heading1"/>
        <w:spacing w:before="200" w:after="100"/>
      </w:pPr>
      <w:r>
        <w:rPr>
          <w:b/>
          <w:sz w:val="32"/>
        </w:rPr>
        <w:t>Как читать журнал исходов v1.0.76</w:t>
      </w:r>
    </w:p>
    <w:p>
      <w:pPr>
        <w:pStyle w:val="ListBullet"/>
      </w:pPr>
      <w:r>
        <w:rPr>
          <w:sz w:val="21"/>
        </w:rPr>
        <w:t>В журнале отдельно показаны «Исход по правилам стратегии», «Расчётный net proxy P&amp;L» и «Причина исхода». Эти поля нельзя трактовать как одно и то же.</w:t>
      </w:r>
    </w:p>
    <w:p>
      <w:pPr>
        <w:pStyle w:val="ListBullet"/>
      </w:pPr>
      <w:r>
        <w:rPr>
          <w:sz w:val="21"/>
        </w:rPr>
        <w:t>Положительный net proxy P&amp;L при «Неуспех · kill-switch» означает: сетка ранее накопила прибыль, но затем нарушила защитную границу. По контракту grid_label_v26 такой terminal outcome остаётся неуспешным независимо от знака P&amp;L.</w:t>
      </w:r>
    </w:p>
    <w:p>
      <w:pPr>
        <w:pStyle w:val="ListBullet"/>
      </w:pPr>
      <w:r>
        <w:rPr>
          <w:sz w:val="21"/>
        </w:rPr>
        <w:t>Для новых outcomes колонка причины показывает сторону и цену kill-switch и наблюдавшийся экстремум. Legacy-строки без terminal diagnostics не реконструируются предположением.</w:t>
      </w:r>
    </w:p>
    <w:p>
      <w:pPr>
        <w:pStyle w:val="ListBullet"/>
      </w:pPr>
      <w:r>
        <w:rPr>
          <w:sz w:val="21"/>
        </w:rPr>
        <w:t>«Неизвестно» и «—» означают invalid/missing numeric contract. Boolean, пустые строки, NaN и Infinity не должны интерпретироваться как 1, 0 или 0%.</w:t>
      </w:r>
    </w:p>
    <w:p>
      <w:pPr>
        <w:pStyle w:val="ListBullet"/>
      </w:pPr>
      <w:r>
        <w:rPr>
          <w:sz w:val="21"/>
        </w:rPr>
        <w:t>Машинные коды действий, причин и идентификаторы рекомендаций сохраняются без перевода. Рядом выводится связное русское пояснение.</w:t>
      </w:r>
    </w:p>
    <w:p>
      <w:pPr>
        <w:pStyle w:val="ListBullet"/>
      </w:pPr>
      <w:r>
        <w:rPr>
          <w:sz w:val="21"/>
        </w:rPr>
        <w:t>OUTCOME_SKIP_INVALID_GRID_CONTRACT означает, что результат нельзя доказательно восстановить по доступным OHLCV-данным; это терминальное fail-closed цензурирование.</w:t>
      </w:r>
    </w:p>
    <w:p>
      <w:pPr>
        <w:pStyle w:val="ListBullet"/>
      </w:pPr>
      <w:r>
        <w:rPr>
          <w:sz w:val="21"/>
        </w:rPr>
        <w:t>intrabar_extreme_order_unobservable означает неизвестный порядок касаний цен внутри одной свечи. Система не назначает прибыль или убыток по предположению.</w:t>
      </w:r>
    </w:p>
    <w:p>
      <w:pPr>
        <w:pStyle w:val="ListBullet"/>
      </w:pPr>
      <w:r>
        <w:rPr>
          <w:sz w:val="21"/>
        </w:rPr>
        <w:t>Недостаточный объём свечи означает, что моделируемое исполнение требуемого количества нельзя подтвердить. Ослаблять эту проверку вручную запрещено.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v1.2.0</dc:title>
  <dc:subject>Выбор futures_grid или directional_trend по проверенной risk-adjusted ожидаемой прибыльности</dc:subject>
  <dc:creator>python-docx</dc:creator>
  <cp:keywords/>
  <dc:description>Recommendation/audit-only: external grid or single-order execution package; no Bybit order submission.</dc:description>
  <cp:lastModifiedBy/>
  <cp:revision>1</cp:revision>
  <dcterms:created xsi:type="dcterms:W3CDTF">2013-12-23T23:15:00Z</dcterms:created>
  <dcterms:modified xsi:type="dcterms:W3CDTF">2013-12-23T23:15:00Z</dcterms:modified>
  <cp:category/>
  <cp:version>1.0.17</cp:version>
</cp:coreProperties>
</file>