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оператора</w:t>
        <w:br/>
        <w:t>Bybit Recommender</w:t>
      </w:r>
    </w:p>
    <w:p>
      <w:r>
        <w:rPr>
          <w:color w:val="4D6082"/>
          <w:sz w:val="22"/>
        </w:rPr>
        <w:t>Как читать рекомендации и когда запускать бота на Bybit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986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EF3F8"/>
          </w:tcPr>
          <w:p>
            <w:r>
              <w:rPr>
                <w:b/>
              </w:rPr>
              <w:t>Ключевая идея: бота открывают только когда одновременно соблюдены допуск сигнала, подходящий режим, достаточный Скор UI, приемлемый Ож. RR и нет красных флагов по рынку, ликвидности и издержкам.</w:t>
            </w:r>
          </w:p>
        </w:tc>
      </w:tr>
    </w:tbl>
    <w:p>
      <w:pPr>
        <w:pStyle w:val="Heading1"/>
      </w:pPr>
      <w:r>
        <w:t>1.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Шаг</w:t>
            </w:r>
          </w:p>
        </w:tc>
        <w:tc>
          <w:tcPr>
            <w:tcW w:type="dxa" w:w="23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Что смотреть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трактовать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Действие</w:t>
            </w:r>
          </w:p>
        </w:tc>
      </w:tr>
      <w:tr>
        <w:tc>
          <w:tcPr>
            <w:tcW w:type="dxa" w:w="2620"/>
          </w:tcPr>
          <w:p>
            <w:r>
              <w:t>1</w:t>
            </w:r>
          </w:p>
        </w:tc>
        <w:tc>
          <w:tcPr>
            <w:tcW w:type="dxa" w:w="2620"/>
          </w:tcPr>
          <w:p>
            <w:r>
              <w:t>Общий режим рынка</w:t>
            </w:r>
          </w:p>
        </w:tc>
        <w:tc>
          <w:tcPr>
            <w:tcW w:type="dxa" w:w="2620"/>
          </w:tcPr>
          <w:p>
            <w:r>
              <w:t>Risk-on / risk-off, волатильность, trend, shock/chaos.</w:t>
            </w:r>
          </w:p>
        </w:tc>
        <w:tc>
          <w:tcPr>
            <w:tcW w:type="dxa" w:w="2620"/>
          </w:tcPr>
          <w:p>
            <w:r>
              <w:t>Режим против идеи — порог для входа повышается или сигнал пропускается.</w:t>
            </w:r>
          </w:p>
        </w:tc>
      </w:tr>
      <w:tr>
        <w:tc>
          <w:tcPr>
            <w:tcW w:type="dxa" w:w="2620"/>
          </w:tcPr>
          <w:p>
            <w:r>
              <w:t>2</w:t>
            </w:r>
          </w:p>
        </w:tc>
        <w:tc>
          <w:tcPr>
            <w:tcW w:type="dxa" w:w="2620"/>
          </w:tcPr>
          <w:p>
            <w:r>
              <w:t>Статус</w:t>
            </w:r>
          </w:p>
        </w:tc>
        <w:tc>
          <w:tcPr>
            <w:tcW w:type="dxa" w:w="2620"/>
          </w:tcPr>
          <w:p>
            <w:r>
              <w:t>Главный допуск. Сначала смотрят только строки со статусом recommended.</w:t>
            </w:r>
          </w:p>
        </w:tc>
        <w:tc>
          <w:tcPr>
            <w:tcW w:type="dxa" w:w="2620"/>
          </w:tcPr>
          <w:p>
            <w:r>
              <w:t>Не recommended — обычно пропуск.</w:t>
            </w:r>
          </w:p>
        </w:tc>
      </w:tr>
      <w:tr>
        <w:tc>
          <w:tcPr>
            <w:tcW w:type="dxa" w:w="2620"/>
          </w:tcPr>
          <w:p>
            <w:r>
              <w:t>3</w:t>
            </w:r>
          </w:p>
        </w:tc>
        <w:tc>
          <w:tcPr>
            <w:tcW w:type="dxa" w:w="2620"/>
          </w:tcPr>
          <w:p>
            <w:r>
              <w:t>Тип бота + направление</w:t>
            </w:r>
          </w:p>
        </w:tc>
        <w:tc>
          <w:tcPr>
            <w:tcW w:type="dxa" w:w="2620"/>
          </w:tcPr>
          <w:p>
            <w:r>
              <w:t>Сценарий сделки: spot/futures и long/short/neutral.</w:t>
            </w:r>
          </w:p>
        </w:tc>
        <w:tc>
          <w:tcPr>
            <w:tcW w:type="dxa" w:w="2620"/>
          </w:tcPr>
          <w:p>
            <w:r>
              <w:t>Если сам тип идеи не нужен — не запускать.</w:t>
            </w:r>
          </w:p>
        </w:tc>
      </w:tr>
      <w:tr>
        <w:tc>
          <w:tcPr>
            <w:tcW w:type="dxa" w:w="2620"/>
          </w:tcPr>
          <w:p>
            <w:r>
              <w:t>4</w:t>
            </w:r>
          </w:p>
        </w:tc>
        <w:tc>
          <w:tcPr>
            <w:tcW w:type="dxa" w:w="2620"/>
          </w:tcPr>
          <w:p>
            <w:r>
              <w:t>Ув. напр.</w:t>
            </w:r>
          </w:p>
        </w:tc>
        <w:tc>
          <w:tcPr>
            <w:tcW w:type="dxa" w:w="2620"/>
          </w:tcPr>
          <w:p>
            <w:r>
              <w:t>Уверенность модели в выбранном режиме. Для neutral высокое значение — плюс.</w:t>
            </w:r>
          </w:p>
        </w:tc>
        <w:tc>
          <w:tcPr>
            <w:tcW w:type="dxa" w:w="2620"/>
          </w:tcPr>
          <w:p>
            <w:r>
              <w:t>Чем выше, тем надёжнее сценарий.</w:t>
            </w:r>
          </w:p>
        </w:tc>
      </w:tr>
      <w:tr>
        <w:tc>
          <w:tcPr>
            <w:tcW w:type="dxa" w:w="2620"/>
          </w:tcPr>
          <w:p>
            <w:r>
              <w:t>5</w:t>
            </w:r>
          </w:p>
        </w:tc>
        <w:tc>
          <w:tcPr>
            <w:tcW w:type="dxa" w:w="2620"/>
          </w:tcPr>
          <w:p>
            <w:r>
              <w:t>Скор UI</w:t>
            </w:r>
          </w:p>
        </w:tc>
        <w:tc>
          <w:tcPr>
            <w:tcW w:type="dxa" w:w="2620"/>
          </w:tcPr>
          <w:p>
            <w:r>
              <w:t>Percentile 0–100 среди текущих кандидатов. Это удобная шкала, а не вероятность.</w:t>
            </w:r>
          </w:p>
        </w:tc>
        <w:tc>
          <w:tcPr>
            <w:tcW w:type="dxa" w:w="2620"/>
          </w:tcPr>
          <w:p>
            <w:r>
              <w:t>Высокий Скор UI повышает приоритет идеи.</w:t>
            </w:r>
          </w:p>
        </w:tc>
      </w:tr>
      <w:tr>
        <w:tc>
          <w:tcPr>
            <w:tcW w:type="dxa" w:w="2620"/>
          </w:tcPr>
          <w:p>
            <w:r>
              <w:t>6</w:t>
            </w:r>
          </w:p>
        </w:tc>
        <w:tc>
          <w:tcPr>
            <w:tcW w:type="dxa" w:w="2620"/>
          </w:tcPr>
          <w:p>
            <w:r>
              <w:t>Ож. RR, Увер., BTC-завис., детали</w:t>
            </w:r>
          </w:p>
        </w:tc>
        <w:tc>
          <w:tcPr>
            <w:tcW w:type="dxa" w:w="2620"/>
          </w:tcPr>
          <w:p>
            <w:r>
              <w:t>Проверка экономики идеи, confidence, зависимости от BTC, ликвидности, спреда и факторов.</w:t>
            </w:r>
          </w:p>
        </w:tc>
        <w:tc>
          <w:tcPr>
            <w:tcW w:type="dxa" w:w="2620"/>
          </w:tcPr>
          <w:p>
            <w:r>
              <w:t>После этого переносить параметры в форму Bybit.</w:t>
            </w:r>
          </w:p>
        </w:tc>
      </w:tr>
    </w:tbl>
    <w:p>
      <w:pPr>
        <w:pStyle w:val="Heading1"/>
      </w:pPr>
      <w:r>
        <w:t>2. Шкалы стимулов и дестимулов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Показатель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Стимул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Нормально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Дестимул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использовать</w:t>
            </w:r>
          </w:p>
        </w:tc>
      </w:tr>
      <w:tr>
        <w:tc>
          <w:tcPr>
            <w:tcW w:type="dxa" w:w="2096"/>
          </w:tcPr>
          <w:p>
            <w:r>
              <w:t>Статус</w:t>
            </w:r>
          </w:p>
        </w:tc>
        <w:tc>
          <w:tcPr>
            <w:tcW w:type="dxa" w:w="2096"/>
          </w:tcPr>
          <w:p>
            <w:r>
              <w:t>recommended</w:t>
            </w:r>
          </w:p>
        </w:tc>
        <w:tc>
          <w:tcPr>
            <w:tcW w:type="dxa" w:w="2096"/>
          </w:tcPr>
          <w:p>
            <w:r>
              <w:t>-</w:t>
            </w:r>
          </w:p>
        </w:tc>
        <w:tc>
          <w:tcPr>
            <w:tcW w:type="dxa" w:w="2096"/>
          </w:tcPr>
          <w:p>
            <w:r>
              <w:t>blocked / no_trade / suppressed</w:t>
            </w:r>
          </w:p>
        </w:tc>
        <w:tc>
          <w:tcPr>
            <w:tcW w:type="dxa" w:w="2096"/>
          </w:tcPr>
          <w:p>
            <w:r>
              <w:t>Без допуска сигнал обычно не исполняют.</w:t>
            </w:r>
          </w:p>
        </w:tc>
      </w:tr>
      <w:tr>
        <w:tc>
          <w:tcPr>
            <w:tcW w:type="dxa" w:w="2096"/>
          </w:tcPr>
          <w:p>
            <w:r>
              <w:t>Ув. напр.</w:t>
            </w:r>
          </w:p>
        </w:tc>
        <w:tc>
          <w:tcPr>
            <w:tcW w:type="dxa" w:w="2096"/>
          </w:tcPr>
          <w:p>
            <w:r>
              <w:t>&gt;= 0.70</w:t>
            </w:r>
          </w:p>
        </w:tc>
        <w:tc>
          <w:tcPr>
            <w:tcW w:type="dxa" w:w="2096"/>
          </w:tcPr>
          <w:p>
            <w:r>
              <w:t>0.55–0.69</w:t>
            </w:r>
          </w:p>
        </w:tc>
        <w:tc>
          <w:tcPr>
            <w:tcW w:type="dxa" w:w="2096"/>
          </w:tcPr>
          <w:p>
            <w:r>
              <w:t>&lt; 0.55</w:t>
            </w:r>
          </w:p>
        </w:tc>
        <w:tc>
          <w:tcPr>
            <w:tcW w:type="dxa" w:w="2096"/>
          </w:tcPr>
          <w:p>
            <w:r>
              <w:t>Это confidence режима. Для neutral высокое значение хорошо: модель уверенно видит диапазон.</w:t>
            </w:r>
          </w:p>
        </w:tc>
      </w:tr>
      <w:tr>
        <w:tc>
          <w:tcPr>
            <w:tcW w:type="dxa" w:w="2096"/>
          </w:tcPr>
          <w:p>
            <w:r>
              <w:t>Скор UI</w:t>
            </w:r>
          </w:p>
        </w:tc>
        <w:tc>
          <w:tcPr>
            <w:tcW w:type="dxa" w:w="2096"/>
          </w:tcPr>
          <w:p>
            <w:r>
              <w:t>80–100 (A)</w:t>
            </w:r>
          </w:p>
        </w:tc>
        <w:tc>
          <w:tcPr>
            <w:tcW w:type="dxa" w:w="2096"/>
          </w:tcPr>
          <w:p>
            <w:r>
              <w:t>60–79 (B) / 40–59 (C)</w:t>
            </w:r>
          </w:p>
        </w:tc>
        <w:tc>
          <w:tcPr>
            <w:tcW w:type="dxa" w:w="2096"/>
          </w:tcPr>
          <w:p>
            <w:r>
              <w:t>&lt; 40 (D/E)</w:t>
            </w:r>
          </w:p>
        </w:tc>
        <w:tc>
          <w:tcPr>
            <w:tcW w:type="dxa" w:w="2096"/>
          </w:tcPr>
          <w:p>
            <w:r>
              <w:t>Главный ранжирующий показатель между текущими кандидатами.</w:t>
            </w:r>
          </w:p>
        </w:tc>
      </w:tr>
      <w:tr>
        <w:tc>
          <w:tcPr>
            <w:tcW w:type="dxa" w:w="2096"/>
          </w:tcPr>
          <w:p>
            <w:r>
              <w:t>Ож. RR</w:t>
            </w:r>
          </w:p>
        </w:tc>
        <w:tc>
          <w:tcPr>
            <w:tcW w:type="dxa" w:w="2096"/>
          </w:tcPr>
          <w:p>
            <w:r>
              <w:t>&gt;= 0.30</w:t>
            </w:r>
          </w:p>
        </w:tc>
        <w:tc>
          <w:tcPr>
            <w:tcW w:type="dxa" w:w="2096"/>
          </w:tcPr>
          <w:p>
            <w:r>
              <w:t>0.25–0.29</w:t>
            </w:r>
          </w:p>
        </w:tc>
        <w:tc>
          <w:tcPr>
            <w:tcW w:type="dxa" w:w="2096"/>
          </w:tcPr>
          <w:p>
            <w:r>
              <w:t>&lt; 0.25</w:t>
            </w:r>
          </w:p>
        </w:tc>
        <w:tc>
          <w:tcPr>
            <w:tcW w:type="dxa" w:w="2096"/>
          </w:tcPr>
          <w:p>
            <w:r>
              <w:t>Экономический смысл идеи. Низкий RR часто перевешивает красивый сигнал.</w:t>
            </w:r>
          </w:p>
        </w:tc>
      </w:tr>
      <w:tr>
        <w:tc>
          <w:tcPr>
            <w:tcW w:type="dxa" w:w="2096"/>
          </w:tcPr>
          <w:p>
            <w:r>
              <w:t>Увер.</w:t>
            </w:r>
          </w:p>
        </w:tc>
        <w:tc>
          <w:tcPr>
            <w:tcW w:type="dxa" w:w="2096"/>
          </w:tcPr>
          <w:p>
            <w:r>
              <w:t>&gt;= 0.72</w:t>
            </w:r>
          </w:p>
        </w:tc>
        <w:tc>
          <w:tcPr>
            <w:tcW w:type="dxa" w:w="2096"/>
          </w:tcPr>
          <w:p>
            <w:r>
              <w:t>0.68–0.71</w:t>
            </w:r>
          </w:p>
        </w:tc>
        <w:tc>
          <w:tcPr>
            <w:tcW w:type="dxa" w:w="2096"/>
          </w:tcPr>
          <w:p>
            <w:r>
              <w:t>&lt; 0.68</w:t>
            </w:r>
          </w:p>
        </w:tc>
        <w:tc>
          <w:tcPr>
            <w:tcW w:type="dxa" w:w="2096"/>
          </w:tcPr>
          <w:p>
            <w:r>
              <w:t>Не заменяет RR и Скор UI; усиливает или ослабляет доверие к рекомендации.</w:t>
            </w:r>
          </w:p>
        </w:tc>
      </w:tr>
      <w:tr>
        <w:tc>
          <w:tcPr>
            <w:tcW w:type="dxa" w:w="2096"/>
          </w:tcPr>
          <w:p>
            <w:r>
              <w:t>BTC-завис.</w:t>
            </w:r>
          </w:p>
        </w:tc>
        <w:tc>
          <w:tcPr>
            <w:tcW w:type="dxa" w:w="2096"/>
          </w:tcPr>
          <w:p>
            <w:r>
              <w:t>r &lt; 0.35</w:t>
            </w:r>
          </w:p>
        </w:tc>
        <w:tc>
          <w:tcPr>
            <w:tcW w:type="dxa" w:w="2096"/>
          </w:tcPr>
          <w:p>
            <w:r>
              <w:t>0.35–0.65</w:t>
            </w:r>
          </w:p>
        </w:tc>
        <w:tc>
          <w:tcPr>
            <w:tcW w:type="dxa" w:w="2096"/>
          </w:tcPr>
          <w:p>
            <w:r>
              <w:t>&gt; 0.65</w:t>
            </w:r>
          </w:p>
        </w:tc>
        <w:tc>
          <w:tcPr>
            <w:tcW w:type="dxa" w:w="2096"/>
          </w:tcPr>
          <w:p>
            <w:r>
              <w:t>Высокое r не запрещает вход, но означает, что идея в основном повторяет BTC.</w:t>
            </w:r>
          </w:p>
        </w:tc>
      </w:tr>
    </w:tbl>
    <w:p>
      <w:r>
        <w:rPr>
          <w:b/>
        </w:rPr>
        <w:t xml:space="preserve">Примечание. </w:t>
      </w:r>
      <w:r>
        <w:t>Скор UI — визуальное представление. Внутренняя математика отбора не меняется; raw score остаётся в техподробностях.</w:t>
      </w:r>
    </w:p>
    <w:p>
      <w:pPr>
        <w:pStyle w:val="Heading1"/>
      </w:pPr>
      <w:r>
        <w:t>3. Практическая схема эксплуатации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Решение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Когда принимать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действовать</w:t>
            </w:r>
          </w:p>
        </w:tc>
      </w:tr>
      <w:tr>
        <w:tc>
          <w:tcPr>
            <w:tcW w:type="dxa" w:w="3494"/>
          </w:tcPr>
          <w:p>
            <w:r>
              <w:t>Запускать</w:t>
            </w:r>
          </w:p>
        </w:tc>
        <w:tc>
          <w:tcPr>
            <w:tcW w:type="dxa" w:w="3494"/>
          </w:tcPr>
          <w:p>
            <w:r>
              <w:t>Статус recommended; режим рынка не против идеи; Ув. напр. хорошая; Скор UI не ниже B/C; Ож. RR &gt;= 0.25, лучше &gt;= 0.30; в деталях нет явных минусов по ликвидности и издержкам.</w:t>
            </w:r>
          </w:p>
        </w:tc>
        <w:tc>
          <w:tcPr>
            <w:tcW w:type="dxa" w:w="3494"/>
          </w:tcPr>
          <w:p>
            <w:r>
              <w:t>Открывать бота на Bybit штатным размером и переносить поля запуска из панели деталей.</w:t>
            </w:r>
          </w:p>
        </w:tc>
      </w:tr>
      <w:tr>
        <w:tc>
          <w:tcPr>
            <w:tcW w:type="dxa" w:w="3494"/>
          </w:tcPr>
          <w:p>
            <w:r>
              <w:t>Запускать уменьшенным размером</w:t>
            </w:r>
          </w:p>
        </w:tc>
        <w:tc>
          <w:tcPr>
            <w:tcW w:type="dxa" w:w="3494"/>
          </w:tcPr>
          <w:p>
            <w:r>
              <w:t>Идея рабочая, но один показатель пограничный: Скор UI около C/D, RR ближе к 0.25, высокая BTC-зависимость или рынок неидеален.</w:t>
            </w:r>
          </w:p>
        </w:tc>
        <w:tc>
          <w:tcPr>
            <w:tcW w:type="dxa" w:w="3494"/>
          </w:tcPr>
          <w:p>
            <w:r>
              <w:t>Снижать размер/плечо, не усреднять агрессивно, внимательнее следить за фоном рынка.</w:t>
            </w:r>
          </w:p>
        </w:tc>
      </w:tr>
      <w:tr>
        <w:tc>
          <w:tcPr>
            <w:tcW w:type="dxa" w:w="3494"/>
          </w:tcPr>
          <w:p>
            <w:r>
              <w:t>Пропускать</w:t>
            </w:r>
          </w:p>
        </w:tc>
        <w:tc>
          <w:tcPr>
            <w:tcW w:type="dxa" w:w="3494"/>
          </w:tcPr>
          <w:p>
            <w:r>
              <w:t>Статус не recommended; режим рынка против идеи; Ув. напр. слабая; Скор UI низкий; Ож. RR &lt; 0.25; плохая ликвидность/широкий спред/издержки; для neutral виден риск скорого пробоя диапазона.</w:t>
            </w:r>
          </w:p>
        </w:tc>
        <w:tc>
          <w:tcPr>
            <w:tcW w:type="dxa" w:w="3494"/>
          </w:tcPr>
          <w:p>
            <w:r>
              <w:t>Бота не открывать; перейти к следующему кандидату.</w:t>
            </w:r>
          </w:p>
        </w:tc>
      </w:tr>
    </w:tbl>
    <w:p/>
    <w:p>
      <w:pPr>
        <w:pStyle w:val="Heading1"/>
      </w:pPr>
      <w:r>
        <w:t>4. Контроль состояния сервиса</w:t>
      </w:r>
    </w:p>
    <w:p>
      <w:pPr/>
      <w:r>
        <w:t>Перед началом смены и после любого нестандартного поведения желательно быстро проверить техническое состояние сервиса, а не только список рекомендаций.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</w:tcPr>
          <w:p>
            <w:r>
              <w:rPr>
                <w:sz w:val="20"/>
              </w:rPr>
              <w:t>Что проверить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Где смотреть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Как трактовать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Свежесть market data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/api/v1/health/symbols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Нежелательны массовые stale/missing. Если stale становится много, сначала разбираться со сбором данных, а не с качеством сигналов.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Недавние ошибки сбора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/metrics и /api/v1/decisions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Рост COLLECT_ERROR, SYMBOL_DISABLED, runtime_lock ошибок или повторяющихся API-сбоев — повод не доверять части рекомендаций до выяснения причины.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Последний цикл collector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/api/v1/status и /metrics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Смотрите duration_ms, lock_lost и служебные поля collector. Потеря lock или резко выросшая длительность цикла означают, что контур сбора требует внимания.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Активные рекомендации и риск-статус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/api/v1/recommendations и /api/v1/risk/status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Если рекомендации пропали массово или risk-status неожиданно блокирует входы, сперва проверяйте контур риска и последние trade rows.</w:t>
            </w:r>
          </w:p>
        </w:tc>
      </w:tr>
    </w:tbl>
    <w:p>
      <w:pPr/>
      <w:r>
        <w:t>Практическое правило: если технический контур выглядит нестабильно, не увеличивать размер и не трактовать единичный красивый сигнал как достаточное основание для запуска.</w:t>
      </w:r>
    </w:p>
    <w:p/>
    <w:p>
      <w:pPr>
        <w:pStyle w:val="Heading1"/>
        <w:spacing w:before="240" w:after="120"/>
      </w:pPr>
      <w:r>
        <w:t>5. Что изменилось в апрельской ревизии</w:t>
      </w:r>
    </w:p>
    <w:p>
      <w:pPr>
        <w:spacing w:after="120"/>
      </w:pPr>
      <w:r>
        <w:t>Для оператора важны не только качество сигнала, но и честная целостность действия: одно и то же решение не должно оставлять систему в состоянии, где UI, audit trail и фактический bot lifecycle расходятся между собой.</w:t>
      </w:r>
    </w:p>
    <w:p>
      <w:pPr>
        <w:pStyle w:val="ListBullet"/>
        <w:spacing w:after="60"/>
      </w:pPr>
      <w:r>
        <w:t>Исполнение рекомендации теперь сериализуется под write-lock SQLite. Это уменьшает риск редких гонок, когда два действия читают один и тот же старый state и расходятся только в момент записи.</w:t>
      </w:r>
    </w:p>
    <w:p>
      <w:pPr>
        <w:pStyle w:val="ListBullet"/>
        <w:spacing w:after="60"/>
      </w:pPr>
      <w:r>
        <w:t>Если перевод рекомендации в статус executed не подтвердился, запуск бота откатывается целиком. Оператор больше не получает скрытый running-бот при несостоявшемся статусном переходе.</w:t>
      </w:r>
    </w:p>
    <w:p>
      <w:pPr>
        <w:pStyle w:val="ListBullet"/>
        <w:spacing w:after="60"/>
      </w:pPr>
      <w:r>
        <w:t>Trade с флагом stop_bot=true теперь считается успешным только если бот реально переведён в stopped. Если финальная остановка не состоялась, trade не фиксируется и не искажает журнал событий.</w:t>
      </w:r>
    </w:p>
    <w:p>
      <w:pPr>
        <w:pStyle w:val="ListBullet"/>
        <w:spacing w:after="60"/>
      </w:pPr>
      <w:r>
        <w:t>Льготный boot-grace в блоке «Здоровье символов» больше не красит в зелёный очень старые данные от предыдущего процесса. Если унаследованные свечи и тикеры уже слишком стары, символ останется stale и потребует реального обновления.</w:t>
      </w:r>
    </w:p>
    <w:p>
      <w:pPr>
        <w:pStyle w:val="ListBullet"/>
        <w:spacing w:after="60"/>
      </w:pPr>
      <w:r>
        <w:t>Практическое следствие: при рестарте сервиса и при повторных операторских действиях можно больше доверять тому, что API-ответ, audit trail и фактическое состояние бота не противоречат друг другу.</w:t>
      </w:r>
    </w:p>
    <w:p>
      <w:pPr>
        <w:pStyle w:val="ListBullet"/>
      </w:pPr>
      <w:r>
        <w:t>Исправлен ещё один редкий, но принципиальный дефект publication-chain: поздний active-сигнал той же цепочки больше не может считаться «уже исполненным» только потому, что в истории есть старый stopped-бот. Повторное исполнение допустимо лишь при наличии живой running-экспозиции; иначе создаётся новый bot instance.</w:t>
      </w:r>
    </w:p>
    <w:p>
      <w:pPr>
        <w:pStyle w:val="ListBullet"/>
      </w:pPr>
      <w:r>
        <w:t>Практическое правило: если предыдущий бот по этой же идее уже закрыт, новый execute по active-рекомендации должен дать новый running bot_id. Возврат старого stopped bot_id теперь считается дефектом и больше не является нормальной идемпотентностью.</w:t>
      </w:r>
    </w:p>
    <w:p>
      <w:pPr>
        <w:spacing w:before="120" w:after="0"/>
      </w:pPr>
      <w:r>
        <w:t>Рекомендуемый быстрый контроль после рестарта: открыть «Здоровье символов», убедиться, что stale-статусы не скрываются boot-grace для явно старых данных, затем проверить /api/v1/status и только после этого выполнять сигнал.</w:t>
      </w:r>
    </w:p>
    <w:p>
      <w:pPr>
        <w:pStyle w:val="Heading1"/>
        <w:spacing w:before="120" w:after="120"/>
      </w:pPr>
      <w:r>
        <w:rPr>
          <w:b/>
        </w:rPr>
        <w:t>6. Контроль поставки и обновления</w:t>
      </w:r>
    </w:p>
    <w:p>
      <w:pPr>
        <w:spacing w:before="120" w:after="120"/>
      </w:pPr>
      <w:r>
        <w:t>После обновления сервиса полезно проверять не только API и UI, но и целостность самой поставки. Релиз считается готовым к эксплуатации, только если совпадают инструкции, набор зависимостей и операторские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  <w:shd w:fill="D9EAF7"/>
          </w:tcPr>
          <w:p>
            <w:r>
              <w:rPr>
                <w:b/>
              </w:rPr>
              <w:t>Что проверить</w:t>
            </w:r>
          </w:p>
        </w:tc>
        <w:tc>
          <w:tcPr>
            <w:tcW w:type="dxa" w:w="3494"/>
            <w:shd w:fill="D9EAF7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3494"/>
            <w:shd w:fill="D9EAF7"/>
          </w:tcPr>
          <w:p>
            <w:r>
              <w:rPr>
                <w:b/>
              </w:rPr>
              <w:t>Зачем это нужно</w:t>
            </w:r>
          </w:p>
        </w:tc>
      </w:tr>
      <w:tr>
        <w:tc>
          <w:tcPr>
            <w:tcW w:type="dxa" w:w="3494"/>
          </w:tcPr>
          <w:p>
            <w:r>
              <w:t>Release quality-gate</w:t>
            </w:r>
          </w:p>
        </w:tc>
        <w:tc>
          <w:tcPr>
            <w:tcW w:type="dxa" w:w="3494"/>
          </w:tcPr>
          <w:p>
            <w:r>
              <w:t>Установить requirements.txt и requirements-dev.txt, затем выполнить pytest, py_compile и ruff.</w:t>
            </w:r>
          </w:p>
        </w:tc>
        <w:tc>
          <w:tcPr>
            <w:tcW w:type="dxa" w:w="3494"/>
          </w:tcPr>
          <w:p>
            <w:r>
              <w:t>Исключает ситуацию, когда README требует проверку, а часть инструментов отсутствует в самой поставке.</w:t>
            </w:r>
          </w:p>
        </w:tc>
      </w:tr>
      <w:tr>
        <w:tc>
          <w:tcPr>
            <w:tcW w:type="dxa" w:w="3494"/>
          </w:tcPr>
          <w:p>
            <w:r>
              <w:t>Операторские артефакты</w:t>
            </w:r>
          </w:p>
        </w:tc>
        <w:tc>
          <w:tcPr>
            <w:tcW w:type="dxa" w:w="3494"/>
          </w:tcPr>
          <w:p>
            <w:r>
              <w:t>Убедиться, что README, .env.example и операторские DOCX/PDF в папке docs/ относятся к одной ревизии.</w:t>
            </w:r>
          </w:p>
        </w:tc>
        <w:tc>
          <w:tcPr>
            <w:tcW w:type="dxa" w:w="3494"/>
          </w:tcPr>
          <w:p>
            <w:r>
              <w:t>Снижает риск запуска по устаревшей инструкции или по конфигу, не совпадающему с кодом.</w:t>
            </w:r>
          </w:p>
        </w:tc>
      </w:tr>
      <w:tr>
        <w:tc>
          <w:tcPr>
            <w:tcW w:type="dxa" w:w="3494"/>
          </w:tcPr>
          <w:p>
            <w:r>
              <w:t>Smoke после рестарта</w:t>
            </w:r>
          </w:p>
        </w:tc>
        <w:tc>
          <w:tcPr>
            <w:tcW w:type="dxa" w:w="3494"/>
          </w:tcPr>
          <w:p>
            <w:r>
              <w:t>Проверить /api/v1/status, /api/v1/health/symbols и только затем список рекомендаций.</w:t>
            </w:r>
          </w:p>
        </w:tc>
        <w:tc>
          <w:tcPr>
            <w:tcW w:type="dxa" w:w="3494"/>
          </w:tcPr>
          <w:p>
            <w:r>
              <w:t>Позволяет отделить красивый сигнал от сигнала, опубликованного на фоне stale data или деградировавшего runtime.</w:t>
            </w:r>
          </w:p>
        </w:tc>
      </w:tr>
    </w:tbl>
    <w:p>
      <w:pPr>
        <w:spacing w:before="120" w:after="120"/>
      </w:pPr>
      <w:r>
        <w:rPr>
          <w:b/>
        </w:rPr>
        <w:t xml:space="preserve">Практическое правило: </w:t>
      </w:r>
      <w:r>
        <w:t>если после обновления не проходит базовый quality-gate или документы расходятся с README, такую сборку не следует считать готовой к рабочему запуску даже при полностью зелёном UI.</w:t>
      </w:r>
    </w:p>
    <w:sectPr w:rsidR="00FC693F" w:rsidRPr="0006063C" w:rsidSect="00034616">
      <w:pgSz w:w="12240" w:h="15840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A245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A245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