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rPr>
          <w:sz w:val="21"/>
        </w:rPr>
        <w:t>Версия документа: 1.0.25 (exact arithmetic-grid PnL ledger and interval economics).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rPr>
          <w:sz w:val="21"/>
        </w:rPr>
        <w:t>Отдельное касание directional tp_per_leg не подтверждает прибыль всего grid. Arithmetic tp_per_leg должен совпадать с полным соседним grid interval; коэффициент fill_efficiency не уменьшает PnL уже завершённой пары. Одна и та же сетка может закрываться повторно, поэтому cumulative completed trades не ограничиваются grid_count.</w:t>
      </w:r>
    </w:p>
    <w:p>
      <w:pPr>
        <w:pStyle w:val="ListBullet"/>
      </w:pPr>
      <w:r>
        <w:rPr>
          <w:sz w:val="21"/>
        </w:rPr>
        <w:t>Outcome worker ведёт равноколичественный close-to-close ledger уровней: cash, LONG/SHORT lots, replacement orders, цены inferred fills и half round-trip cost на каждую исполненную leg. Gross завершённой arithmetic-grid пары равен полному interval; результат нормируется на капитал всей сетки. Neutral starts flat.</w:t>
      </w:r>
    </w:p>
    <w:p>
      <w:pPr>
        <w:pStyle w:val="ListBullet"/>
      </w:pPr>
      <w:r>
        <w:rPr>
          <w:sz w:val="21"/>
        </w:rPr>
        <w:t>LONG/SHORT включают исходную directional-позицию и mark-to-market фактически оставшегося proxy inventory по exact horizon exit. UI headline показывает actionable-когорту; all-roots и shadow no_trade показаны отдельно. Текущая несовместимая label-версия grid_label_v6 сбрасывает только старые reco_outcomes/calibrators. Proxy не доказывает intrabar fills, queue priority или live PnL.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rPr>
          <w:sz w:val="21"/>
        </w:rPr>
        <w:t>explicit leverage, isolated margin mode, sizing/economics for qtyStep, minNotional and margin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rPr>
          <w:sz w:val="21"/>
        </w:rP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rPr>
          <w:sz w:val="21"/>
        </w:rPr>
        <w:t>Оценочный loss до adverse kill-switch превышает остаток дневного лимита max_daily_dd_usdt - daily_dd (DAILY_LOSS_BUDGET_EXCEEDED).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rPr>
          <w:sz w:val="21"/>
        </w:rPr>
        <w:t>2. Сверить current price, best bid/ask spread, live net edge, TTL, Bybit metadata, funding snapshot, liquidation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>
      <w:r>
        <w:rPr>
          <w:sz w:val="21"/>
        </w:rPr>
        <w:br w:type="page"/>
      </w:r>
    </w:p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21"/>
        </w:rP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