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rPr>
          <w:sz w:val="21"/>
        </w:rPr>
        <w:t>Версия документа: 1.1.0 (отдельная directional trend-ветка в shadow-режиме; без исполнения биржевых ордеров)</w:t>
      </w:r>
    </w:p>
    <w:p>
      <w:r>
        <w:rPr>
          <w:sz w:val="21"/>
        </w:rPr>
        <w:t>Назначение: регламент принятия операторского решения по исполнимому grid-плану и чтения отдельной исследовательской directional trend-ветки, а также статистики exact-current-policy proxy outcomes. Документ не является инструкцией по переносу trend-параметров в биржевой бот.</w:t>
      </w:r>
    </w:p>
    <w:p>
      <w:r>
        <w:rPr>
          <w:sz w:val="21"/>
        </w:rPr>
        <w:t>Граница системы. Репозиторий является recommendation/audit service, not OMS/EMS. Он не выставляет ордера, не подтверждает runtime-исполнимость, не знает очередь, partial fills, состояние аккаунта или фактическую доступность маржи. Статус recommended означает модельный сигнал, а не готовый к исполнению ордер.</w:t>
      </w:r>
    </w:p>
    <w:p>
      <w:pPr>
        <w:pStyle w:val="Heading1"/>
        <w:spacing w:before="200" w:after="100"/>
      </w:pPr>
      <w:r>
        <w:rPr>
          <w:b/>
          <w:sz w:val="32"/>
        </w:rPr>
        <w:t>Направленный тренд v1.1.0 - только shadow</w:t>
      </w:r>
    </w:p>
    <w:p>
      <w:pPr>
        <w:pStyle w:val="ListBullet"/>
      </w:pPr>
      <w:r>
        <w:rPr>
          <w:sz w:val="21"/>
        </w:rPr>
        <w:t>directional_trend - отдельная стратегия, а не новое имя для long/short grid. Сетка остаётся range/mean-reversion механикой с directional bias.</w:t>
      </w:r>
    </w:p>
    <w:p>
      <w:pPr>
        <w:pStyle w:val="ListBullet"/>
      </w:pPr>
      <w:r>
        <w:rPr>
          <w:sz w:val="21"/>
        </w:rPr>
        <w:t>Trend-план содержит одну long или short позицию, take-profit и stop-loss. Grid levels, усреднение и pyramiding запрещены контрактом.</w:t>
      </w:r>
    </w:p>
    <w:p>
      <w:pPr>
        <w:pStyle w:val="ListBullet"/>
      </w:pPr>
      <w:r>
        <w:rPr>
          <w:sz w:val="21"/>
        </w:rPr>
        <w:t>В этой версии trend всегда имеет статус НЕ ТОРГОВАТЬ / shadow и код DIRECTIONAL_TREND_SHADOW_ONLY. Execution endpoint и создание bot_instance заблокированы fail-closed.</w:t>
      </w:r>
    </w:p>
    <w:p>
      <w:pPr>
        <w:pStyle w:val="ListBullet"/>
      </w:pPr>
      <w:r>
        <w:rPr>
          <w:sz w:val="21"/>
        </w:rPr>
        <w:t>Trend-outcome рассчитывается отдельно по непрерывным минутным свечам: первое однозначное TP/SL или точный open на границе 12-часового horizon. Касание TP и SL в одной свече либо пропуск минуты цензурируются.</w:t>
      </w:r>
    </w:p>
    <w:p>
      <w:pPr>
        <w:pStyle w:val="ListBullet"/>
      </w:pPr>
      <w:r>
        <w:rPr>
          <w:sz w:val="21"/>
        </w:rPr>
        <w:t>Grid и trend имеют разные outcome contracts и calibrators. Их результаты нельзя складывать в общий win rate или использовать как доказательство live edge.</w:t>
      </w:r>
    </w:p>
    <w:p>
      <w:pPr>
        <w:pStyle w:val="Heading1"/>
        <w:spacing w:before="200" w:after="100"/>
      </w:pPr>
      <w:r>
        <w:rPr>
          <w:b/>
          <w:sz w:val="32"/>
        </w:rPr>
        <w:t>Свежесть рекомендации и окно исхода v1.0.78</w:t>
      </w:r>
    </w:p>
    <w:p>
      <w:pPr>
        <w:pStyle w:val="ListBullet"/>
      </w:pPr>
      <w:r>
        <w:rPr>
          <w:sz w:val="21"/>
        </w:rPr>
        <w:t>RECO_TTL_SEC — это срок операторской актуальности конкретной publication-chain. После его истечения старую рекомендацию исполнять нельзя; новый подтверждённый сигнал может быть опубликован как свежая рекомендация.</w:t>
      </w:r>
    </w:p>
    <w:p>
      <w:pPr>
        <w:pStyle w:val="ListBullet"/>
      </w:pPr>
      <w:r>
        <w:rPr>
          <w:sz w:val="21"/>
        </w:rPr>
        <w:t>12-часовой label horizon — отдельное статистическое окно псевдо-позиции futures_grid. Пока оно не завершилось, свежая операторская публикация может иметь новый publication_root_rec_id, но сохраняет прежний outcome_root_rec_id и не создаёт дополнительный обучающий исход.</w:t>
      </w:r>
    </w:p>
    <w:p>
      <w:pPr>
        <w:pStyle w:val="ListBullet"/>
      </w:pPr>
      <w:r>
        <w:rPr>
          <w:sz w:val="21"/>
        </w:rPr>
        <w:t>12 часов не считаются доказанно оптимальными. Переход на 6 или 24 часа требует отдельного versioned purged walk-forward сравнения; простое изменение константы меняет target, срок готовности метки, embargo и funding exposure.</w:t>
      </w:r>
    </w:p>
    <w:p>
      <w:pPr>
        <w:pStyle w:val="ListBullet"/>
      </w:pPr>
      <w:r>
        <w:rPr>
          <w:sz w:val="21"/>
        </w:rPr>
        <w:t>В истории рекомендаций различайте «операторскую цепочку» и «независимое окно исхода». Несколько свежих публикаций могут относиться к одному outcome-window — это штатно и предотвращает псевдорепликацию данных.</w:t>
      </w:r>
    </w:p>
    <w:p>
      <w:pPr>
        <w:pStyle w:val="Heading1"/>
        <w:spacing w:before="200" w:after="100"/>
      </w:pPr>
      <w:r>
        <w:rPr>
          <w:b/>
          <w:sz w:val="32"/>
        </w:rPr>
        <w:t>Проверка здоровья системы v1.0.71</w:t>
      </w:r>
    </w:p>
    <w:p>
      <w:pPr>
        <w:pStyle w:val="ListBullet"/>
      </w:pPr>
      <w:r>
        <w:rPr>
          <w:sz w:val="21"/>
        </w:rP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rPr>
          <w:sz w:val="21"/>
        </w:rP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rPr>
          <w:sz w:val="21"/>
        </w:rP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rPr>
          <w:sz w:val="21"/>
        </w:rP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spacing w:before="200" w:after="100"/>
      </w:pPr>
      <w:r>
        <w:rPr>
          <w:b/>
          <w:sz w:val="32"/>
        </w:rPr>
        <w:t>Как читать русский интерфейс v1.0.64</w:t>
      </w:r>
    </w:p>
    <w:p>
      <w:pPr/>
      <w:r>
        <w:rPr>
          <w:sz w:val="21"/>
        </w:rP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rPr>
          <w:sz w:val="21"/>
        </w:rPr>
        <w:t>Покупка (рост) — направление, которое выигрывает при росте цены; внутреннее значение long.</w:t>
      </w:r>
    </w:p>
    <w:p>
      <w:pPr>
        <w:pStyle w:val="ListBullet"/>
      </w:pPr>
      <w:r>
        <w:rPr>
          <w:sz w:val="21"/>
        </w:rPr>
        <w:t>Продажа (снижение) — направление, которое выигрывает при снижении цены; внутреннее значение short.</w:t>
      </w:r>
    </w:p>
    <w:p>
      <w:pPr>
        <w:pStyle w:val="ListBullet"/>
      </w:pPr>
      <w:r>
        <w:rPr>
          <w:sz w:val="21"/>
        </w:rPr>
        <w:t>Нейтральная сетка — торговля внутри диапазона без единственной направленной цели прибыли; внутреннее значение neutral.</w:t>
      </w:r>
    </w:p>
    <w:p>
      <w:pPr>
        <w:pStyle w:val="ListBullet"/>
      </w:pPr>
      <w:r>
        <w:rPr>
          <w:sz w:val="21"/>
        </w:rP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rPr>
          <w:sz w:val="21"/>
        </w:rP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rPr>
          <w:sz w:val="21"/>
        </w:rP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rPr>
          <w:sz w:val="21"/>
        </w:rPr>
        <w:t>Предзапусковая проверка — последняя проверка цены, диапазона, количества, маржи и риска перед операторским подтверждением.</w:t>
      </w:r>
    </w:p>
    <w:p>
      <w:pPr>
        <w:pStyle w:val="ListBullet"/>
      </w:pPr>
      <w:r>
        <w:rPr>
          <w:sz w:val="21"/>
        </w:rPr>
        <w:t>Значок вопроса открывает краткую подсказку. Полные числа, пороги, исходные сообщения и машинные коды находятся в окне «Детали».</w:t>
      </w:r>
    </w:p>
    <w:p>
      <w:pPr>
        <w:pStyle w:val="ListBullet"/>
      </w:pPr>
      <w:r>
        <w:rPr>
          <w:sz w:val="21"/>
        </w:rP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rPr>
          <w:sz w:val="21"/>
        </w:rP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spacing w:before="200" w:after="100"/>
      </w:pPr>
      <w:r>
        <w:rPr>
          <w:b/>
          <w:sz w:val="32"/>
        </w:rPr>
        <w:t>Policy-conditioned evidence contract</w:t>
      </w:r>
    </w:p>
    <w:p>
      <w:pPr/>
      <w:r>
        <w:rPr>
          <w:sz w:val="21"/>
        </w:rP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rPr>
          <w:sz w:val="21"/>
        </w:rPr>
        <w:t>Policy evaluation и shadow exploration разделены. Статистические calibration gates исключаются из pre-calibration candidate policy, чтобы отсутствие модели не делало сбор evidence логически невозможным; hard data/risk/economic veto по-прежнему исключает root.</w:t>
      </w:r>
    </w:p>
    <w:p>
      <w:pPr/>
      <w:r>
        <w:rPr>
          <w:sz w:val="21"/>
        </w:rP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spacing w:before="200" w:after="100"/>
      </w:pPr>
      <w:r>
        <w:rPr>
          <w:b/>
          <w:sz w:val="32"/>
        </w:rPr>
        <w:t>История исходов и текущая model lineage</w:t>
      </w:r>
    </w:p>
    <w:p>
      <w:r>
        <w:rPr>
          <w:sz w:val="21"/>
        </w:rP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rPr>
          <w:sz w:val="21"/>
        </w:rP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spacing w:before="200" w:after="100"/>
      </w:pPr>
      <w:r>
        <w:rPr>
          <w:b/>
          <w:sz w:val="32"/>
        </w:rPr>
        <w:t>Граница исторического моделирования</w:t>
      </w:r>
    </w:p>
    <w:p>
      <w:pPr/>
      <w:r>
        <w:rPr>
          <w:sz w:val="21"/>
        </w:rP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rPr>
          <w:sz w:val="21"/>
        </w:rPr>
        <w:t>В reasons.simulation_scope должны быть: mode=historical_proxy_only, runtime_order_submission=false, runtime_execution_validation=not_performed, exchange_fill_attestation=not_available. Это основной контракт текущей версии 1.1.0.</w:t>
      </w:r>
    </w:p>
    <w:p>
      <w:pPr/>
      <w:r>
        <w:rPr>
          <w:sz w:val="21"/>
        </w:rP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spacing w:before="200" w:after="100"/>
      </w:pPr>
      <w:r>
        <w:rPr>
          <w:b/>
          <w:sz w:val="32"/>
        </w:rPr>
        <w:t>Объёмное подтверждение proxy fills</w:t>
      </w:r>
    </w:p>
    <w:p>
      <w:pPr/>
      <w:r>
        <w:rPr>
          <w:sz w:val="21"/>
        </w:rP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rPr>
          <w:sz w:val="21"/>
        </w:rP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rPr>
          <w:sz w:val="21"/>
        </w:rP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spacing w:before="160" w:after="80"/>
      </w:pPr>
      <w:r>
        <w:rPr>
          <w:b/>
          <w:sz w:val="26"/>
        </w:rPr>
        <w:t>Ликвидность на границе horizon и при защитном закрытии</w:t>
      </w:r>
    </w:p>
    <w:p>
      <w:r>
        <w:rPr>
          <w:sz w:val="21"/>
        </w:rP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rPr>
          <w:sz w:val="21"/>
        </w:rP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rPr>
          <w:sz w:val="21"/>
        </w:rP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spacing w:before="200" w:after="100"/>
      </w:pPr>
      <w:r>
        <w:rPr>
          <w:b/>
          <w:sz w:val="32"/>
        </w:rPr>
        <w:t>Консервативная цена аварийная граница выхода</w:t>
      </w:r>
    </w:p>
    <w:p>
      <w:pPr/>
      <w:r>
        <w:rPr>
          <w:sz w:val="21"/>
        </w:rP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rPr>
          <w:sz w:val="21"/>
        </w:rP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rPr>
          <w:sz w:val="21"/>
        </w:rP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spacing w:before="200" w:after="100"/>
      </w:pPr>
      <w:r>
        <w:rPr>
          <w:b/>
          <w:sz w:val="32"/>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rPr>
          <w:sz w:val="21"/>
        </w:rPr>
        <w:t>Для operator execution поддерживается только Bybit Linear USDT Futures Grid. Отдельный directional_trend публикуется только как shadow research; spot/inverse/options/non-USDT блокируются.</w:t>
      </w:r>
    </w:p>
    <w:p>
      <w:pPr>
        <w:pStyle w:val="ListBullet"/>
      </w:pPr>
      <w:r>
        <w:rPr>
          <w:sz w:val="21"/>
        </w:rP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spacing w:before="200" w:after="100"/>
      </w:pPr>
      <w:r>
        <w:rPr>
          <w:b/>
          <w:sz w:val="32"/>
        </w:rPr>
        <w:t>Устойчивость сигнала и идентичность рекомендации</w:t>
      </w:r>
    </w:p>
    <w:p>
      <w:pPr/>
      <w:r>
        <w:rPr>
          <w:sz w:val="21"/>
        </w:rPr>
        <w:t>Actionable futures_grid допускается только после двух разных последовательно закрытых evidence snapshots (features_ref_ts). Повторный цикл на той же закрытой свече не является вторым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rPr>
          <w:sz w:val="21"/>
        </w:rP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spacing w:before="200" w:after="100"/>
      </w:pPr>
      <w:r>
        <w:rPr>
          <w:rFonts w:ascii="Arial" w:hAnsi="Arial"/>
          <w:b/>
          <w:sz w:val="32"/>
        </w:rPr>
        <w:t>Метрики принятия решения v1.0.63</w:t>
      </w:r>
    </w:p>
    <w:p>
      <w:pPr/>
      <w:r>
        <w:rPr>
          <w:rFonts w:ascii="Arial" w:hAnsi="Arial"/>
          <w:sz w:val="21"/>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rPr>
          <w:sz w:val="21"/>
        </w:rP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rPr>
          <w:sz w:val="21"/>
        </w:rP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rPr>
          <w:sz w:val="21"/>
        </w:rP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rPr>
          <w:sz w:val="21"/>
        </w:rP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spacing w:before="200" w:after="100"/>
      </w:pPr>
      <w:r>
        <w:rPr>
          <w:b/>
          <w:sz w:val="32"/>
        </w:rPr>
        <w:t>Purged OOF для feature LogReg</w:t>
      </w:r>
    </w:p>
    <w:p>
      <w:r>
        <w:rPr>
          <w:sz w:val="21"/>
        </w:rP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rPr>
          <w:sz w:val="21"/>
        </w:rP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rPr>
          <w:sz w:val="21"/>
        </w:rP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rPr>
          <w:sz w:val="21"/>
        </w:rP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spacing w:before="200" w:after="100"/>
      </w:pPr>
      <w:r>
        <w:rPr>
          <w:b/>
          <w:sz w:val="32"/>
        </w:rPr>
        <w:t>Независимость временных evidence-кластеров</w:t>
      </w:r>
    </w:p>
    <w:p>
      <w:r>
        <w:rPr>
          <w:sz w:val="21"/>
        </w:rP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rPr>
          <w:sz w:val="21"/>
        </w:rP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rPr>
          <w:sz w:val="21"/>
        </w:rPr>
        <w:t>Недостаток временных кластеров, отсутствующая диагностика или неположительная cluster lower bound означает shadow НЕ ТОРГОВАТЬ с PROXY_MONETARY_EXPECTANCY_UNPROVEN. Высокий score, win rate или десятки коррелированных символов не являются основанием для обхода.</w:t>
      </w:r>
    </w:p>
    <w:p>
      <w:pPr>
        <w:pStyle w:val="Heading1"/>
        <w:spacing w:before="200" w:after="100"/>
      </w:pPr>
      <w:r>
        <w:rPr>
          <w:b/>
          <w:sz w:val="32"/>
        </w:rPr>
        <w:t>Денежное ожидание калибровки</w:t>
      </w:r>
    </w:p>
    <w:p>
      <w:pPr/>
      <w:r>
        <w:rPr>
          <w:sz w:val="21"/>
        </w:rP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rPr>
          <w:sz w:val="21"/>
        </w:rPr>
        <w:t>Actionable futures_grid допускается только когда точная policy-conditioned matured-return выборка имеет достаточный Kish effective sample size и положительную одностороннюю 95% Student-t lower bound. Каждый matured policy root входит в denominator как labeled, censored или unresolved. Любой censored/unresolved/invalid-labeled root либо исчезнувшая поддержка cache означает PROXY_OUTCOME_CENSORING_UNBOUNDED и НЕ ТОРГОВАТЬ немедленно. Это защищает от survivorship bias, но создаёт открытый liveness-риск: один постоянный censored root способен блокировать всю policy-когорту. Не обходить вручную; необходим отдельный validated bounded-censor contract.</w:t>
      </w:r>
    </w:p>
    <w:p>
      <w:pPr/>
      <w:r>
        <w:rPr>
          <w:sz w:val="21"/>
        </w:rP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spacing w:before="200" w:after="100"/>
      </w:pPr>
      <w:r>
        <w:rPr>
          <w:b/>
          <w:sz w:val="32"/>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rPr>
          <w:sz w:val="21"/>
        </w:rP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spacing w:before="200" w:after="100"/>
      </w:pPr>
      <w:r>
        <w:rPr>
          <w:b/>
          <w:sz w:val="32"/>
        </w:rPr>
        <w:t>Directional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spacing w:before="200" w:after="100"/>
      </w:pPr>
      <w:r>
        <w:rPr>
          <w:b/>
          <w:sz w:val="32"/>
        </w:rPr>
        <w:t>Proxy outcome, shadow sample и калибровка</w:t>
      </w:r>
    </w:p>
    <w:p>
      <w:pPr>
        <w:pStyle w:val="ListBullet"/>
      </w:pPr>
      <w:r>
        <w:rPr>
          <w:sz w:val="21"/>
        </w:rP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21"/>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rPr>
          <w:sz w:val="21"/>
        </w:rPr>
        <w:t>Outcome contract остаётся grid_label_v26. Исторические outcomes сохраняются как аудит. Текущая recommendation lineage bybit-taxonomy-v11-separated-operator-outcome-lineage принимает только verified exact-policy outcomes; bot/global calibrators используют v21. Direction v14 использует horizon-price target, но его Platt audit-only до отдельного chronological skill gate и не меняет decision feature.</w:t>
      </w:r>
    </w:p>
    <w:p>
      <w:pPr>
        <w:pStyle w:val="ListBullet"/>
      </w:pPr>
      <w:r>
        <w:rPr>
          <w:sz w:val="21"/>
        </w:rP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spacing w:before="200" w:after="100"/>
      </w:pPr>
      <w:r>
        <w:rPr>
          <w:b/>
          <w:sz w:val="32"/>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rPr>
          <w:sz w:val="21"/>
        </w:rP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spacing w:before="200" w:after="100"/>
      </w:pPr>
      <w:r>
        <w:rPr>
          <w:b/>
          <w:sz w:val="32"/>
        </w:rPr>
        <w:t>НЕ ТОРГОВАТЬ / BLOCKED условия</w:t>
      </w:r>
    </w:p>
    <w:p>
      <w:pPr>
        <w:pStyle w:val="ListBullet"/>
      </w:pPr>
      <w:r>
        <w:rPr>
          <w:sz w:val="21"/>
        </w:rPr>
        <w:t>Hard blocked: MEAN_REVERSION_EVIDENCE_INSUFFICIENT, INVALID_MARKET_REFERENCE_PRICE и иные data/risk/model failures. Strategy no_trade: MEAN_REVERSION_EDGE_UNCONFIRMED либо непрохождение score/confidence/economics.</w:t>
      </w:r>
    </w:p>
    <w:p>
      <w:pPr>
        <w:pStyle w:val="ListBullet"/>
      </w:pPr>
      <w:r>
        <w:rPr>
          <w:sz w:val="21"/>
        </w:rPr>
        <w:t>Устаревшая operator publication-chain, stale market data, live ticker вне range/аварийной границы выхода, отсутствующая пара bid/ask, spread &gt;14 bps, recurring grid edge &lt;2 bps или gross/fee coverage &lt;=1,10x. Истечение operator TTL блокирует запуск старой рекомендации, но не создаёт новый независимый outcome-root до конца label horizon.</w:t>
      </w:r>
    </w:p>
    <w:p>
      <w:pPr>
        <w:pStyle w:val="ListBullet"/>
      </w:pPr>
      <w:r>
        <w:rPr>
          <w:sz w:val="21"/>
        </w:rP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rPr>
          <w:sz w:val="21"/>
        </w:rP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spacing w:before="200" w:after="100"/>
      </w:pPr>
      <w:r>
        <w:rPr>
          <w:b/>
          <w:sz w:val="32"/>
        </w:rPr>
        <w:t>Практическая последовательность</w:t>
      </w:r>
    </w:p>
    <w:p>
      <w:r>
        <w:rPr>
          <w:sz w:val="21"/>
        </w:rPr>
        <w:t>1. Проверить status/effective_status: blocked означает жёсткий data/risk/model отказ; no_trade означает неподтверждённый тезис или статистический/economic gate.</w:t>
      </w:r>
    </w:p>
    <w:p>
      <w:r>
        <w:rPr>
          <w:sz w:val="21"/>
        </w:rPr>
        <w:t>2. Сверить полноту исторических данных, features_ref_ts, horizon, cost/платёж финансирования assumptions, simulation_scope и денежные/временные diagnostics.</w:t>
      </w:r>
    </w:p>
    <w:p>
      <w:r>
        <w:rPr>
          <w:sz w:val="21"/>
        </w:rPr>
        <w:t>3. Не интерпретировать trade_plan как готовый биржевой payload: это геометрия исторической симуляции.</w:t>
      </w:r>
    </w:p>
    <w:p>
      <w:r>
        <w:rPr>
          <w:sz w:val="21"/>
        </w:rP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rPr>
          <w:sz w:val="21"/>
        </w:rPr>
        <w:t>Полный no_trade-кандидат без hard blocks может получить outcome_policy.sample_role=shadow_no_trade и после horizon войти в исследовательскую proxy-выборку. Это не реальный запуск, не exchange fill и не основание утверждать исполнимость.</w:t>
      </w:r>
    </w:p>
    <w:p>
      <w:pPr>
        <w:pStyle w:val="ListBullet"/>
      </w:pPr>
      <w:r>
        <w:rPr>
          <w:sz w:val="21"/>
        </w:rPr>
        <w:t>Необученный, цензурированный или не подтвердивший terminal held-out skill bot-specific calibrator означает shadow НЕ ТОРГОВАТЬ: raw confidence audit-only. 80 exact-policy rows — только денежный floor; при REQUIRE_CONF_GATE=1 полная probability readiness начинается не ранее 300 rows и требует accepted purged OOF/terminal holdout. Положительный cache обязан воспроизводиться по текущему policy denominator; исчезновение supporting rows отключает его. Подтверждённый negative expectancy сохраняется как консервативный veto.</w:t>
      </w:r>
    </w:p>
    <w:p>
      <w:pPr>
        <w:pStyle w:val="ListBullet"/>
      </w:pPr>
      <w:r>
        <w:rPr>
          <w:sz w:val="21"/>
        </w:rP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spacing w:before="160" w:after="80"/>
      </w:pPr>
      <w:r>
        <w:rPr>
          <w:b/>
          <w:sz w:val="26"/>
        </w:rPr>
        <w:t>Нет положительных модельных рекомендаций</w:t>
      </w:r>
    </w:p>
    <w:p>
      <w:pPr>
        <w:pStyle w:val="Heading1"/>
        <w:spacing w:before="200" w:after="100"/>
      </w:pPr>
      <w:r>
        <w:rPr>
          <w:b/>
          <w:sz w:val="32"/>
        </w:rPr>
        <w:t>Опциональная внешняя post-hoc сверка PnL</w:t>
      </w:r>
    </w:p>
    <w:p>
      <w:pPr>
        <w:pStyle w:val="ListBullet"/>
      </w:pPr>
      <w:r>
        <w:rPr>
          <w:sz w:val="21"/>
        </w:rP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rPr>
          <w:sz w:val="21"/>
        </w:rP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rPr>
          <w:sz w:val="21"/>
        </w:rP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rPr>
          <w:sz w:val="21"/>
        </w:rP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spacing w:before="200" w:after="100"/>
      </w:pPr>
      <w:r>
        <w:rPr>
          <w:b/>
          <w:sz w:val="32"/>
        </w:rPr>
        <w:t>Опциональная terminal finalization внешнего evidence</w:t>
      </w:r>
    </w:p>
    <w:p>
      <w:pPr>
        <w:pStyle w:val="ListBullet"/>
      </w:pPr>
      <w:r>
        <w:rPr>
          <w:sz w:val="21"/>
        </w:rP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rPr>
          <w:sz w:val="21"/>
        </w:rPr>
        <w:t>Проверяйте поля total_pnl_finalized=true, position_flat=true и net_position_qty около нуля. validation_ineligible_reasons объясняет отсутствие eligibility.</w:t>
      </w:r>
    </w:p>
    <w:p>
      <w:pPr>
        <w:pStyle w:val="ListBullet"/>
      </w:pPr>
      <w:r>
        <w:rPr>
          <w:sz w:val="21"/>
        </w:rPr>
        <w:t>Stopped status сам по себе не означает завершённый PnL. Любой unmatched Buy/Sell quantity означает residual inventory и исключает bot из live-validation.</w:t>
      </w:r>
    </w:p>
    <w:p>
      <w:pPr>
        <w:pStyle w:val="Heading1"/>
        <w:spacing w:before="200" w:after="100"/>
      </w:pPr>
      <w:r>
        <w:rPr>
          <w:b/>
          <w:sz w:val="32"/>
        </w:rPr>
        <w:t>Опциональный stop-критерий по внешнему evidence</w:t>
      </w:r>
    </w:p>
    <w:p>
      <w:pPr>
        <w:pStyle w:val="ListBullet"/>
      </w:pPr>
      <w:r>
        <w:rPr>
          <w:sz w:val="21"/>
        </w:rPr>
        <w:t>При отдельно включённой post-hoc validation в gate входят только stopped bots той же model_version с terminally finalized evidence. Grid identity: bybit-taxonomy-v11-separated-operator-outcome-lineage; trend shadow identity: bybit-taxonomy-v11-separated-operator-outcome-lineage+directional-trend-v1. Ключи: logreg_futures_grid_v21 и logreg_directional_trend_v1; разные механики не объединяются в один inference-calibrator.</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spacing w:before="200" w:after="100"/>
      </w:pPr>
      <w:r>
        <w:rPr>
          <w:b/>
          <w:sz w:val="32"/>
        </w:rPr>
        <w:t>Историческая справка v1.0.48: обязательная exchange geometry (отменена в v1.0.51)</w:t>
      </w:r>
    </w:p>
    <w:p>
      <w:r>
        <w:rPr>
          <w:sz w:val="21"/>
        </w:rP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Диапазон, reference, аварийная граница выхода и grid step должны быть кратны tick_size.</w:t>
      </w:r>
    </w:p>
    <w:p>
      <w:pPr>
        <w:pStyle w:val="ListBullet"/>
        <w:spacing w:after="60"/>
      </w:pPr>
      <w:r>
        <w:rPr>
          <w:sz w:val="21"/>
        </w:rPr>
        <w:t>Количество на ордер должно быть кратно qty_step и не ниже min_order_qty/min_notional.</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Точное касание свечой лимитного уровня не считается исполнением: Buy требует движения ниже уровня, Sell - выше.</w:t>
      </w:r>
    </w:p>
    <w:p>
      <w:pPr>
        <w:pStyle w:val="ListBullet"/>
        <w:spacing w:after="60"/>
      </w:pPr>
      <w:r>
        <w:rPr>
          <w:sz w:val="21"/>
        </w:rPr>
        <w:t>Даже strict trade-through остаётся proxy и не доказывает queue priority, объём и partial fills.</w:t>
      </w:r>
    </w:p>
    <w:p>
      <w:pPr>
        <w:pStyle w:val="ListBullet"/>
        <w:spacing w:after="60"/>
      </w:pPr>
      <w:r>
        <w:rPr>
          <w:sz w:val="21"/>
        </w:rPr>
        <w:t>После обновления v1.0.53 старые proxy outcomes/calibrators очищаются; ожидайте новую grid_label_v26 выборку.</w:t>
      </w:r>
    </w:p>
    <w:p>
      <w:r>
        <w:rPr>
          <w:sz w:val="21"/>
        </w:rPr>
        <w:t>Операторское правило v1.0.53: не трактовать рекомендацию как биржевой ордер или подтверждение runtime-исполнимости.</w:t>
      </w:r>
    </w:p>
    <w:p>
      <w:pPr>
        <w:pStyle w:val="Heading1"/>
        <w:spacing w:before="200" w:after="100"/>
      </w:pPr>
      <w:r>
        <w:rPr>
          <w:b/>
          <w:sz w:val="32"/>
        </w:rPr>
        <w:t>Обновление v1.0.50: время активации replacement-ордера</w:t>
      </w:r>
    </w:p>
    <w:p>
      <w:pPr>
        <w:pStyle w:val="ListBullet"/>
      </w:pPr>
      <w:r>
        <w:rPr>
          <w:sz w:val="21"/>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1"/>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1"/>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1"/>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rPr>
          <w:sz w:val="21"/>
        </w:rPr>
        <w:t>Даже межсвечное proxy-исполнение не доказывает queue priority, partial fills или фактическую задержку; это ограниченная историческая модель.</w:t>
      </w:r>
    </w:p>
    <w:p>
      <w:pPr>
        <w:pStyle w:val="Heading2"/>
        <w:spacing w:before="160" w:after="80"/>
      </w:pPr>
      <w:r>
        <w:rPr>
          <w:rFonts w:ascii="Arial" w:hAnsi="Arial"/>
          <w:b/>
          <w:sz w:val="26"/>
        </w:rPr>
        <w:t>Восстановление исходов при включённом LLM (v1.0.62)</w:t>
      </w:r>
    </w:p>
    <w:p>
      <w:r>
        <w:rPr>
          <w:rFonts w:ascii="Arial" w:hAnsi="Arial"/>
          <w:sz w:val="21"/>
        </w:rPr>
        <w:t>LLM reviewer проверяет только потенциально исполнимые рекомендации. Поэтому явно разрешённые, прошедшие deterministic risk checks shadow-no_trade roots не требуют LLM verdict для расчёта proxy outcome. Это не делает no_trade исполнимым: actionable roots при включённом LLM по-прежнему остаются fail-closed до завершённого verdict.</w:t>
      </w:r>
    </w:p>
    <w:p>
      <w:r>
        <w:rPr>
          <w:rFonts w:ascii="Arial" w:hAnsi="Arial"/>
          <w:sz w:val="21"/>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1"/>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p>
      <w:pPr>
        <w:pStyle w:val="Heading1"/>
        <w:spacing w:before="200" w:after="100"/>
      </w:pPr>
      <w:r>
        <w:rPr>
          <w:b/>
          <w:sz w:val="32"/>
        </w:rPr>
        <w:t>Дополнение версии 1.0.69: проверка после перезапуска</w:t>
      </w:r>
    </w:p>
    <w:p>
      <w:r>
        <w:rPr>
          <w:sz w:val="21"/>
        </w:rPr>
        <w:t>После перезапуска состояние «Запускается / накапливает данные» сохраняется до тех пор, пока именно текущий процесс не завершит собственный цикл сборщика и собственную публикацию рекомендаций. Данные последнего цикла прежнего процесса больше не считаются доказательством готовности нового процесса.</w:t>
      </w:r>
    </w:p>
    <w:p>
      <w:r>
        <w:rPr>
          <w:sz w:val="21"/>
        </w:rPr>
        <w:t>В окне «Здоровье системы» проверьте поля «Цикл сборщика текущего процесса» и «Публикация текущего процесса». Оба поля должны перейти в «Да». Если период запуска завершился, а хотя бы одно поле осталось «Нет», состояние должно стать деградированным.</w:t>
      </w:r>
    </w:p>
    <w:p>
      <w:r>
        <w:rPr>
          <w:sz w:val="21"/>
        </w:rPr>
        <w:t>Поле «Идентификатор БД» является безопасным постоянным идентификатором конкретного хранилища. Запишите его перед обновлением. После обновления он должен остаться тем же. Изменение идентификатора означает подключение к другой или заново созданной БД и требует проверки DB_PATH либо DATABASE_URL.</w:t>
      </w:r>
    </w:p>
    <w:p>
      <w:r>
        <w:rPr>
          <w:sz w:val="21"/>
        </w:rPr>
        <w:t>Сводка последней публикации должна учитывать все инструменты публикационного цикла, включая строки, которые повторно используют ранее созданный outcome-root. Число строк сводки должно соответствовать count_all в событии PUBLISH, а не только числу новых outcome-root.</w:t>
      </w:r>
    </w:p>
    <w:p>
      <w:pPr>
        <w:pStyle w:val="Heading1"/>
        <w:spacing w:before="200" w:after="100"/>
      </w:pPr>
      <w:r>
        <w:rPr>
          <w:b/>
          <w:sz w:val="32"/>
        </w:rPr>
        <w:t>Безопасный перезапуск и передача блокировок v1.0.71</w:t>
      </w:r>
    </w:p>
    <w:p>
      <w:pPr>
        <w:pStyle w:val="ListBullet"/>
      </w:pPr>
      <w:r>
        <w:rPr>
          <w:sz w:val="21"/>
        </w:rPr>
        <w:t>При штатном завершении приложения фоновые контуры освобождают только принадлежащие текущему процессу блокировки. Новый процесс не должен ожидать полный срок блокировки предыдущего PID.</w:t>
      </w:r>
    </w:p>
    <w:p>
      <w:pPr>
        <w:pStyle w:val="ListBullet"/>
      </w:pPr>
      <w:r>
        <w:rPr>
          <w:sz w:val="21"/>
        </w:rPr>
        <w:t>Состояние «передача управления» означает штатное ожидание безопасного перехвата блокировки. Оно не означает свежесть рынка и не разрешает торговлю по устаревшим данным.</w:t>
      </w:r>
    </w:p>
    <w:p>
      <w:pPr>
        <w:pStyle w:val="ListBullet"/>
      </w:pPr>
      <w:r>
        <w:rPr>
          <w:sz w:val="21"/>
        </w:rPr>
        <w:t>В окне здоровья проверяйте владельца блокировки сборщика, срок блокировки и время до разрешённого перехвата. Не выполняйте повторные перезапуски, пока идёт штатная передача управления.</w:t>
      </w:r>
    </w:p>
    <w:p>
      <w:pPr>
        <w:pStyle w:val="ListBullet"/>
      </w:pPr>
      <w:r>
        <w:rPr>
          <w:sz w:val="21"/>
        </w:rPr>
        <w:t>После передачи должны одновременно появиться: блокировка принадлежит текущему процессу, цикл сборщика текущего процесса — «Да», публикация текущего процесса — «Да», устаревших инструментов — 0.</w:t>
      </w:r>
    </w:p>
    <w:p>
      <w:pPr>
        <w:pStyle w:val="Heading1"/>
        <w:spacing w:before="200" w:after="100"/>
      </w:pPr>
      <w:r>
        <w:rPr>
          <w:b/>
          <w:sz w:val="32"/>
        </w:rPr>
        <w:t>Как читать журнал исходов v1.0.76</w:t>
      </w:r>
    </w:p>
    <w:p>
      <w:pPr>
        <w:pStyle w:val="ListBullet"/>
      </w:pPr>
      <w:r>
        <w:rPr>
          <w:sz w:val="21"/>
        </w:rPr>
        <w:t>В журнале отдельно показаны «Исход по правилам стратегии», «Расчётный net proxy P&amp;L» и «Причина исхода». Эти поля нельзя трактовать как одно и то же.</w:t>
      </w:r>
    </w:p>
    <w:p>
      <w:pPr>
        <w:pStyle w:val="ListBullet"/>
      </w:pPr>
      <w:r>
        <w:rPr>
          <w:sz w:val="21"/>
        </w:rPr>
        <w:t>Положительный net proxy P&amp;L при «Неуспех · kill-switch» означает: сетка ранее накопила прибыль, но затем нарушила защитную границу. По контракту grid_label_v26 такой terminal outcome остаётся неуспешным независимо от знака P&amp;L.</w:t>
      </w:r>
    </w:p>
    <w:p>
      <w:pPr>
        <w:pStyle w:val="ListBullet"/>
      </w:pPr>
      <w:r>
        <w:rPr>
          <w:sz w:val="21"/>
        </w:rPr>
        <w:t>Для новых outcomes колонка причины показывает сторону и цену kill-switch и наблюдавшийся экстремум. Legacy-строки без terminal diagnostics не реконструируются предположением.</w:t>
      </w:r>
    </w:p>
    <w:p>
      <w:pPr>
        <w:pStyle w:val="ListBullet"/>
      </w:pPr>
      <w:r>
        <w:rPr>
          <w:sz w:val="21"/>
        </w:rPr>
        <w:t>«Неизвестно» и «—» означают invalid/missing numeric contract. Boolean, пустые строки, NaN и Infinity не должны интерпретироваться как 1, 0 или 0%.</w:t>
      </w:r>
    </w:p>
    <w:p>
      <w:pPr>
        <w:pStyle w:val="ListBullet"/>
      </w:pPr>
      <w:r>
        <w:rPr>
          <w:sz w:val="21"/>
        </w:rPr>
        <w:t>Машинные коды действий, причин и идентификаторы рекомендаций сохраняются без перевода. Рядом выводится связное русское пояснение.</w:t>
      </w:r>
    </w:p>
    <w:p>
      <w:pPr>
        <w:pStyle w:val="ListBullet"/>
      </w:pPr>
      <w:r>
        <w:rPr>
          <w:sz w:val="21"/>
        </w:rPr>
        <w:t>OUTCOME_SKIP_INVALID_GRID_CONTRACT означает, что результат нельзя доказательно восстановить по доступным OHLCV-данным; это терминальное fail-closed цензурирование.</w:t>
      </w:r>
    </w:p>
    <w:p>
      <w:pPr>
        <w:pStyle w:val="ListBullet"/>
      </w:pPr>
      <w:r>
        <w:rPr>
          <w:sz w:val="21"/>
        </w:rPr>
        <w:t>intrabar_extreme_order_unobservable означает неизвестный порядок касаний цен внутри одной свечи. Система не назначает прибыль или убыток по предположению.</w:t>
      </w:r>
    </w:p>
    <w:p>
      <w:pPr>
        <w:pStyle w:val="ListBullet"/>
      </w:pPr>
      <w:r>
        <w:rPr>
          <w:sz w:val="21"/>
        </w:rPr>
        <w:t>Недостаточный объём свечи означает, что моделируемое исполнение требуемого количества нельзя подтвердить. Ослаблять эту проверку вручную запрещено.</w:t>
      </w:r>
    </w:p>
    <w:p>
      <w:pPr>
        <w:pStyle w:val="ListBullet"/>
      </w:pPr>
      <w:r>
        <w:rPr>
          <w:sz w:val="21"/>
        </w:rPr>
        <w:t>Исследовательские shadow-исходы без LLM могут рассчитываться, но не входят в exact-policy калибровку и не разрешают торговлю.</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v1.0.64</dc:title>
  <dc:subject>Русский операторский интерфейс и принятие решения</dc:subject>
  <dc:creator>python-docx</dc:creator>
  <cp:keywords/>
  <dc:description>Updated for v1.0.61 operator decision metrics; recommendation/audit-only.</dc:description>
  <cp:lastModifiedBy/>
  <cp:revision>1</cp:revision>
  <dcterms:created xsi:type="dcterms:W3CDTF">2013-12-23T23:15:00Z</dcterms:created>
  <dcterms:modified xsi:type="dcterms:W3CDTF">2013-12-23T23:15:00Z</dcterms:modified>
  <cp:category/>
  <cp:version>1.0.17</cp:version>
</cp:coreProperties>
</file>