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1.0.78 (разделение операторской свежести рекомендации и независимой outcome-lineage;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 Журнал исходов обязан показывать терминальную причину отдельно от знака расчётного proxy P&amp;L.</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Свежесть рекомендации и окно исхода v1.0.78</w:t>
      </w:r>
    </w:p>
    <w:p>
      <w:pPr>
        <w:pStyle w:val="ListBullet"/>
      </w:pPr>
      <w: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pPr>
      <w:r>
        <w:t>Проверка здоровья системы v1.0.71</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1.0.78.</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rPr/>
        <w:t>При отдельно включённой post-hoc validation в gate входят только stopped bots той же model_version с terminally finalized evidence. Текущая версия сигнала: bybit-taxonomy-v11-separated-operator-outcome-lineage. Текущие ключи: logreg_futures_grid_v21, logreg_global_v21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pPr>
      <w:r>
        <w:t>Дополнение версии 1.0.69: проверка после перезапуска</w:t>
      </w:r>
    </w:p>
    <w:p>
      <w: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pPr>
      <w:r>
        <w:t>Безопасный перезапуск и передача блокировок v1.0.71</w:t>
      </w:r>
    </w:p>
    <w:p>
      <w:pPr>
        <w:pStyle w:val="ListBullet"/>
      </w:pPr>
      <w: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pPr>
      <w:r>
        <w:t>Как читать журнал исходов v1.0.76</w:t>
      </w:r>
    </w:p>
    <w:p>
      <w:pPr>
        <w:pStyle w:val="ListBullet"/>
      </w:pPr>
      <w: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t>«Неизвестно» и «—» означают invalid/missing numeric contract. Boolean, пустые строки, NaN и Infinity не должны интерпретироваться как 1, 0 или 0%.</w:t>
      </w:r>
    </w:p>
    <w:p>
      <w:pPr>
        <w:pStyle w:val="ListBullet"/>
      </w:pPr>
      <w: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p>
      <w:pPr>
        <w:pStyle w:val="ListBullet"/>
      </w:pPr>
      <w:r>
        <w:t>Исследовательские shadow-исходы без LLM могут рассчитываться, но не входят в exact-policy калибровку и не разрешают торговлю.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