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1.0.35 (Bybit cross-margin safety contract).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NEUTRAL стартует без позиции, поэтому все первоначальные Buy и Sell заявки являются opening orders и входят в commitment. Bybit Futures Grid Bot моделируется как unified account, cross margin и one-way position mode. Safety gate использует cross-margin equity stress на обеих kill-switch границах: committed capital, adverse inventory loss, execution cost и maintenance reserve; funding receipts и hypothetical grid profit не кредитуются. Одиночная isolated liquidation price не публикуется. Текущий контракт — grid_label_v16; первый запуск v1.0.35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t>2. Сверить current price, best bid/ask spread, live net edge, TTL, Bybit metadata, funding snapshot, cross-margin equity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