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1.4.8 (восстановление funding settlement; публичный intrabar trade journal; сохранение model/outcome lineage;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pPr>
      <w:r>
        <w:t>Funding recovery и intrabar journal v1.4.8</w:t>
      </w:r>
    </w:p>
    <w:p>
      <w:pPr>
        <w:pStyle w:val="ListBullet"/>
      </w:pPr>
      <w:r>
        <w:t>Сообщение WAIT_FUNDING_SETTLEMENT означает отсутствие обязательной строки settlement в локальной БД, а не автоматически доказанную ошибку Bybit. Система создаёт durable repair-задание, делает адресный backfill и повторяет outcome после получения фактической ставки. Не удаляйте такую рекомендацию и не считайте WAIT отрицательным исходом.</w:t>
      </w:r>
    </w:p>
    <w:p>
      <w:pPr>
        <w:pStyle w:val="ListBullet"/>
      </w:pPr>
      <w:r>
        <w:t>После временной ошибки funding-history повтор выполняется через короткий backoff, а не блокируется на час. Обычный успешный refresh остаётся часовым и повторно проверяет недавний overlap, чтобы закрывать пропуски перед уже сохранённым latest settlement.</w:t>
      </w:r>
    </w:p>
    <w:p>
      <w:pPr>
        <w:pStyle w:val="ListBullet"/>
      </w:pPr>
      <w:r>
        <w:t>Public trade journal использует read-only Bybit publicTrade WebSocket как основной источник: каждый сеанс имеет отдельный coverage span, а disconnect/restart фиксирует разрыв и не объединяет неизвестный интервал. REST recent-trade работает как bounded fallback/bootstrap и расширяет только собственный span при overlap trade ID соседних snapshot. В окне «Здоровье системы» контролируйте строки журнала, инструменты и gaps. При gap или противоречии OHLC outcome остаётся fail-closed.</w:t>
      </w:r>
    </w:p>
    <w:p>
      <w:pPr>
        <w:pStyle w:val="ListBullet"/>
      </w:pPr>
      <w:r>
        <w:t>Trade journal не доказывает queue priority, actual fill, partial fill или время активации replacement order. Если эти факторы способны изменить grid ledger, исход по-прежнему цензурируется. Статус executed остаётся внутренним audit-state.</w:t>
      </w:r>
    </w:p>
    <w:p>
      <w:pPr>
        <w:pStyle w:val="ListBullet"/>
      </w:pPr>
      <w:r>
        <w:t>Обновление до v1.4.8 добавляет таблицы funding_settlement_repair, market_trade и market_trade_coverage. Они создаются автоматически для SQLite/PostgreSQL. Model version и OUTCOME_LABEL_VERSION не меняются; существующие outcomes и calibrators не обнуляются. Перед обновлением сделайте резервную копию БД и остановите старый процесс.</w:t>
      </w:r>
    </w:p>
    <w:p>
      <w:pPr>
        <w:pStyle w:val="Heading1"/>
      </w:pPr>
      <w:r>
        <w:t>Exchange-executable sizing и exit-path v1.4.6</w:t>
      </w:r>
    </w:p>
    <w:p>
      <w:pPr>
        <w:pStyle w:val="ListBullet"/>
      </w:pPr>
      <w:r>
        <w:t>Generated provisional qty может быть поднят только до минимального значения, удовлетворяющего live minOrderQty, qtyStep и minNotional. После этого система полностью пересчитывает commitment, worst-case notional и margin всей сетки и повторно применяет risk limits.</w:t>
      </w:r>
    </w:p>
    <w:p>
      <w:pPr>
        <w:pStyle w:val="ListBullet"/>
      </w:pPr>
      <w:r>
        <w:t>Explicit/manual qty автоматически не увеличивается. Если он ниже биржевого минимума, первичная причина - ORDER_QTY_BELOW_MIN. Производный ORDER_QTY_OFF_STEP к нулю и дублирующий generic RISK не должны повторять ту же проблему.</w:t>
      </w:r>
    </w:p>
    <w:p>
      <w:pPr>
        <w:pStyle w:val="ListBullet"/>
      </w:pPr>
      <w:r>
        <w:t>Generated leverage выравнивается по leverageStep только вниз. Если минимально исполнимый plan превышает лимит позиции, маржи или дневного риска, решение остаётся НЕ ТОРГОВАТЬ.</w:t>
      </w:r>
    </w:p>
    <w:p>
      <w:pPr>
        <w:pStyle w:val="ListBullet"/>
      </w:pPr>
      <w:r>
        <w:t>Для directional first-touch outcome high/low exit-candle после gap/TP/SL не включаются в MFE/MAE. Учитывается только наблюдаемый gap open либо trigger level; same-candle TP+SL остаётся AMBIGUOUS/censored.</w:t>
      </w:r>
    </w:p>
    <w:p>
      <w:pPr>
        <w:pStyle w:val="Heading1"/>
      </w:pPr>
      <w:r>
        <w:t>Направление, временная структура и журнал v1.4.7</w:t>
      </w:r>
    </w:p>
    <w:p>
      <w:pPr>
        <w:pStyle w:val="ListBullet"/>
      </w:pPr>
      <w:r>
        <w:t>Directional vote теперь рассчитывает slope, MACD, RSI, Bollinger и ATR в едином log-price пространстве. Зеркальные траектории лог-доходностей обязаны давать противоположные score и LONG/SHORT без пограничного short-bias. Для нового расчёта начат новый model/calibrator lineage; старые outcomes остаются историческим аудитом и не объединяются с новой когортой.</w:t>
      </w:r>
    </w:p>
    <w:p>
      <w:pPr>
        <w:pStyle w:val="ListBullet"/>
      </w:pPr>
      <w:r>
        <w:t>В окне «Результаты наблюдений» число строк БД больше не называется числом независимых испытаний. Отдельно показываются уникальные времена старта, символы, временные группы перекрывающихся горизонтов и максимальное число неперекрывающихся окон. Коррелированные монеты и пересекающиеся 12-часовые горизонты не должны интерпретироваться как независимый sample size.</w:t>
      </w:r>
    </w:p>
    <w:p>
      <w:pPr>
        <w:pStyle w:val="ListBullet"/>
      </w:pPr>
      <w:r>
        <w:t>Основная strategy-таблица разделяет mutually exclusive когорты допуска: calibration-eligible, policy-evaluation, shadow exploration и другие. Показатели разных когорт не смешиваются в одной строке. Нулевая actionable-когорта означает отсутствие результатов разрешённых сделок, а не доказательство прибыльности или убыточности стратегии.</w:t>
      </w:r>
    </w:p>
    <w:p>
      <w:pPr>
        <w:pStyle w:val="ListBullet"/>
      </w:pPr>
      <w:r>
        <w:t>Окно «Журнал решений» использует широкие отдельные карточки. Время, действие, символ, стратегия, направление, статус и краткая причина видны сразу; полный payload раскрывается структурированным списком по запросу. Машинные коды сохраняются для аудита, но основные действия и статусы отображаются по-русски; длинный JSON больше не сжимает таблицу в узкие колонки.</w:t>
      </w:r>
    </w:p>
    <w:p>
      <w:pPr>
        <w:pStyle w:val="ListBullet"/>
      </w:pPr>
      <w:r>
        <w:t>Обновление до v1.4.7 не меняет схему БД. Требуется перезапуск сервиса для загрузки новых frontend assets и model lineage. Не удаляйте recommendations, outcomes или архивные audit-записи.</w:t>
      </w:r>
    </w:p>
    <w:p>
      <w:pPr>
        <w:pStyle w:val="Heading1"/>
      </w:pPr>
      <w:r>
        <w:t>Компактные окна «Результаты» и «Здоровье» v1.4.3</w:t>
      </w:r>
    </w:p>
    <w:p>
      <w:pPr>
        <w:pStyle w:val="ListBullet"/>
      </w:pPr>
      <w:r>
        <w:t>Диалоговые окна ограничены шириной 1600 px и высотой 88% окна браузера, но не более 900 px. Клавиша Escape закрывает все открытые диалоги; повторный запуск приложения для этого не требуется.</w:t>
      </w:r>
    </w:p>
    <w:p>
      <w:pPr>
        <w:pStyle w:val="ListBullet"/>
      </w:pPr>
      <w:r>
        <w:t>В окне «Результаты» основной уровень содержит только сводные показатели, когорты допуска, одну каноническую таблицу по стратегиям и сводку LLM. Повторные срезы по исходному/исполняемому направлению, нейтральным подтипам и тем же стратегиям не выводятся отдельными основными таблицами.</w:t>
      </w:r>
    </w:p>
    <w:p>
      <w:pPr>
        <w:pStyle w:val="ListBullet"/>
      </w:pPr>
      <w:r>
        <w:t>В окне «Здоровье» основной уровень объединяет операторский статус, готовность данных и доказательность, состояние фоновых контуров и таблицу инструментов. БД, очереди исходов, runtime provenance, calibrators и расширенная LLM-диагностика находятся в раскрываемом техническом разделе.</w:t>
      </w:r>
    </w:p>
    <w:p>
      <w:pPr>
        <w:pStyle w:val="ListBullet"/>
      </w:pPr>
      <w:r>
        <w:t>Строки shadow/no-trade являются исследовательскими наблюдениями, а не подтверждением реального исполнения сделок. При actionable_total=0 интерфейс обязан явно предупреждать, что статистика ниже не относится к разрешённым торговым кандидатам.</w:t>
      </w:r>
    </w:p>
    <w:p>
      <w:pPr>
        <w:pStyle w:val="ListBullet"/>
      </w:pPr>
      <w:r>
        <w:t>«Успех по контракту» и знак net P&amp;L не взаимозаменяемы. Для grid срабатывание kill-switch является неуспехом даже при положительном накопленном terminal proxy P&amp;L; для trend TP_FIRST, SL_FIRST и HORIZON_EXIT показываются отдельно от денежного результата.</w:t>
      </w:r>
    </w:p>
    <w:p>
      <w:pPr>
        <w:pStyle w:val="Heading1"/>
      </w:pPr>
      <w:r>
        <w:t>Отклонённая предварительная проверка тренда v1.4.2</w:t>
      </w:r>
    </w:p>
    <w:p>
      <w:pPr>
        <w:pStyle w:val="ListBullet"/>
      </w:pPr>
      <w:r>
        <w:t>Полноценная directional_trend-рекомендация существует только при подтверждённом направлении LONG или SHORT. Результат предварительного анализатора с direction=neutral не является позицией и сохраняется как candidate_kind=trend_evaluation_rejected.</w:t>
      </w:r>
    </w:p>
    <w:p>
      <w:pPr>
        <w:pStyle w:val="ListBullet"/>
      </w:pPr>
      <w:r>
        <w:t>Для отклонённой проверки не создаются entry, TP, SL, sizing, trade plan, outcome-root, очередь исхода, ценовая история, обучающий пример или возможность запуска. В окне «Детали» должны быть только одна первичная причина TREND_DIRECTION_UNCONFIRMED и признаки «позиция не сформирована / исход не планируется / обучение исключено».</w:t>
      </w:r>
    </w:p>
    <w:p>
      <w:pPr>
        <w:pStyle w:val="ListBullet"/>
      </w:pPr>
      <w:r>
        <w:t>Не трактуйте такую строку как нейтральный тренд, неудачную trend-сделку или нейтральную сетку. Это диагностический результат анализатора. Каскад DIRECTION_INVALID / LEVELS_MISSING / GEOMETRY_INVALID для неё не должен отображаться, поскольку позиционная геометрия вообще не строится.</w:t>
      </w:r>
    </w:p>
    <w:p>
      <w:pPr>
        <w:pStyle w:val="ListBullet"/>
      </w:pPr>
      <w:r>
        <w:t>В историю и график попадают только candidate_kind=strategy_recommendation. У trend_evaluation_rejected нет кнопки истории; единственное безопасное действие — дождаться следующего снимка с подтверждённым LONG/SHORT.</w:t>
      </w:r>
    </w:p>
    <w:p>
      <w:pPr>
        <w:pStyle w:val="ListBullet"/>
      </w:pPr>
      <w:r>
        <w:t>При обновлении существующей БД init_db() автоматически классифицирует старые neutral trend-строки, снимает с них outcome eligibility и удаляет незавершённые schedule rows без терминального outcome. Ручная SQL-миграция не требуется.</w:t>
      </w:r>
    </w:p>
    <w:p>
      <w:pPr>
        <w:pStyle w:val="Heading1"/>
      </w:pPr>
      <w:r/>
      <w:r>
        <w:t>Strategy-native отображение в «Деталях» v1.4.2</w:t>
      </w:r>
    </w:p>
    <w:p>
      <w:pPr>
        <w:pStyle w:val="ListBullet"/>
      </w:pPr>
      <w:r>
        <w:t>Сначала определите strategy family. «Фьючерсная сетка» и «Направленный тренд · одна позиция» являются отдельными кандидатами и отображаются отдельными строками даже для одного символа и времени.</w:t>
      </w:r>
    </w:p>
    <w:p>
      <w:pPr>
        <w:pStyle w:val="ListBullet"/>
      </w:pPr>
      <w:r/>
      <w:r>
        <w:t>Значение direction=neutral зависит от стратегии. Для futures_grid это валидная «Нейтральная сетка». Для directional_trend это «Направление не подтверждено»: LONG/SHORT не подтверждён, позицию открывать нельзя.</w:t>
      </w:r>
    </w:p>
    <w:p>
      <w:pPr>
        <w:pStyle w:val="ListBullet"/>
      </w:pPr>
      <w:r>
        <w:t>В trend-карточке допустимы только причины и действия про подтверждение LONG/SHORT, entry/TP/SL, single-position contract и first-touch evidence. Советы про диапазон, шаги сетки или запуск сетки относятся только к futures_grid.</w:t>
      </w:r>
    </w:p>
    <w:p>
      <w:pPr>
        <w:pStyle w:val="ListBullet"/>
      </w:pPr>
      <w:r>
        <w:t>В grid-карточке не должны появляться DIRECTIONAL_TREND_* причины, TP/SL remediation одной позиции или first-touch action. Если такие элементы видны, сохраните диагностику JSON и не запускайте торговый план.</w:t>
      </w:r>
    </w:p>
    <w:p>
      <w:pPr>
        <w:pStyle w:val="ListBullet"/>
      </w:pPr>
      <w:r>
        <w:t>Технический machine code может сохраняться на английском для аудита, но связное объяснение и безопасное следующее действие показываются по-русски. Повтор одного конкретного кода из сохранённой и live-проверки отображается один раз.</w:t>
      </w:r>
    </w:p>
    <w:p>
      <w:pPr>
        <w:pStyle w:val="Heading1"/>
        <w:spacing w:before="200" w:after="100"/>
      </w:pPr>
      <w:r>
        <w:t>Выбор стратегии и наблюдаемость v1.4.0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pPr>
      <w:r>
        <w:t>First-touch модель directional trend v1.3.0</w:t>
      </w:r>
    </w:p>
    <w:p>
      <w:pPr>
        <w:pStyle w:val="ListBullet"/>
      </w:pPr>
      <w:r>
        <w:t>Trend-outcome хранит явный тип события: TP_FIRST, SL_FIRST, HORIZON_EXIT или AMBIGUOUS. TP_FIRST означает доказанное достижение TP раньше SL; прибыльный выход по времени остаётся HORIZON_EXIT и не переименовывается в TP_FIRST.</w:t>
      </w:r>
    </w:p>
    <w:p>
      <w:pPr>
        <w:pStyle w:val="ListBullet"/>
      </w:pPr>
      <w:r>
        <w:t>Если одна минутная свеча касается TP и SL либо порядок касаний недоказуем, наблюдение цензурируется. Оператор не должен вручную назначать ему успех или неуспех.</w:t>
      </w:r>
    </w:p>
    <w:p>
      <w:pPr>
        <w:pStyle w:val="ListBullet"/>
      </w:pPr>
      <w:r>
        <w:t>В деталях trend-кандидата отдельно проверяйте P(TP раньше SL), P(SL раньше TP), вероятность выхода по времени, first-touch EV и её нижнюю доверительную границу. Бинарная вероятность успеха сама по себе не разрешает сделку.</w:t>
      </w:r>
    </w:p>
    <w:p>
      <w:pPr>
        <w:pStyle w:val="ListBullet"/>
      </w:pPr>
      <w:r>
        <w:t>Trend допускается router-ом только когда консервативная нижняя оценка P(TP_FIRST) выше верхней оценки P(SL_FIRST), а first-touch EV и её lower bound положительны после комиссий, проскальзывания и adverse funding.</w:t>
      </w:r>
    </w:p>
    <w:p>
      <w:pPr>
        <w:pStyle w:val="ListBullet"/>
      </w:pPr>
      <w:r>
        <w:t>Статусы model unavailable, order uncertain, expectancy non-positive или AMBIGUOUS означают НЕ ТОРГОВАТЬ. Сервис по-прежнему не отправляет биржевой ордер.</w:t>
      </w:r>
    </w:p>
    <w:p>
      <w:pPr>
        <w:pStyle w:val="Heading1"/>
      </w:pPr>
      <w:r>
        <w:t>Сквозная наблюдаемость grid/trend v1.4.0</w:t>
      </w:r>
    </w:p>
    <w:p>
      <w:pPr>
        <w:pStyle w:val="ListBullet"/>
      </w:pPr>
      <w:r>
        <w:t>Окно «Детали» обязано показывать стратегию и её собственную торговую геометрию. Для futures_grid это reference, диапазон, число уровней и внешние защитные границы; для directional_trend — одна позиция, entry, TP и SL. Уровни одной стратегии запрещено выводить через формулы другой.</w:t>
      </w:r>
    </w:p>
    <w:p>
      <w:pPr>
        <w:pStyle w:val="ListBullet"/>
      </w:pPr>
      <w:r>
        <w:t>Сразу после публикации рекомендации система создаёт durable запись очереди исхода с точным сроком созревания. До истечения 12-часового горизонта в «Деталях» и «Здоровье» должно отображаться «ожидает горизонта», а не ложный ноль или отсутствие исхода.</w:t>
      </w:r>
    </w:p>
    <w:p>
      <w:pPr>
        <w:pStyle w:val="ListBullet"/>
      </w:pPr>
      <w:r>
        <w:t>В «Исходах» проверяйте bot_type и канонический event_type. Для grid используется GRID_OUTCOME; для trend — TP_FIRST, SL_FIRST или HORIZON_EXIT. AMBIGUOUS хранится только как цензурированная диагностика и не должен появляться как размеченный outcome.</w:t>
      </w:r>
    </w:p>
    <w:p>
      <w:pPr>
        <w:pStyle w:val="ListBullet"/>
      </w:pPr>
      <w:r>
        <w:t>В «Журнале» каждая запись должна явно содержать strategy family, symbol, direction, recommendation status и model version. Без strategy family одинаковые машинные коды grid и trend нельзя интерпретировать безопасно.</w:t>
      </w:r>
    </w:p>
    <w:p>
      <w:pPr>
        <w:pStyle w:val="ListBullet"/>
      </w:pPr>
      <w:r>
        <w:t>В «Здоровье» очереди, созревшие исходы, calibrator readiness и семантическая целостность показываются отдельно для futures_grid и directional_trend. Ошибки orphan outcome, неверного root, отсутствующей observability или несовместимого event_type являются блокирующей диагностикой, а не косметическим предупреждением.</w:t>
      </w:r>
    </w:p>
    <w:p>
      <w:pPr>
        <w:pStyle w:val="ListBullet"/>
      </w:pPr>
      <w:r>
        <w:t>График истории строится только по сохранённой на момент публикации геометрии. Пропущенный TP, SL, диапазон или защитная граница образуют разрыв линии; интерфейс не имеет права достраивать историю по текущим биржевым metadata. Multi-point история должна строиться без JavaScript-ошибок для обеих стратегий.</w:t>
      </w:r>
    </w:p>
    <w:p>
      <w:pPr>
        <w:pStyle w:val="ListBullet"/>
      </w:pPr>
      <w:r>
        <w:t>Сообщения «ошибка сети», «ошибка данных» и «ошибка построения» различаются. Пустой ответ API, повреждённый JSON или исключение renderer должны быть видимы оператору и не маскироваться пустой таблицей.</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logreg_directional_trend_v2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v1.4.0</dc:title>
  <dc:subject>Strategy-native grid/trend observability, first-touch outcomes and recommendation/audit workflow</dc:subject>
  <dc:creator>python-docx</dc:creator>
  <cp:keywords>Bybit, futures_grid, directional_trend, outcomes, observability, first-touch, operator UI</cp:keywords>
  <dc:description>Updated 2026-07-19 for v1.4.0 strategy observability and UI integrity.</dc:description>
  <cp:lastModifiedBy/>
  <cp:revision>1</cp:revision>
  <dcterms:created xsi:type="dcterms:W3CDTF">2013-12-23T23:15:00Z</dcterms:created>
  <dcterms:modified xsi:type="dcterms:W3CDTF">2013-12-23T23:15:00Z</dcterms:modified>
  <cp:category/>
  <cp:version>1.0.17</cp:version>
</cp:coreProperties>
</file>