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t>Версия документа: 1.0.36 (grid cost-layer separation; Bybit cross-margin safety contract).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t>Отдельное касание directional tp_per_leg не подтверждает прибыль всего grid. Arithmetic tp_per_leg совпадает с полным соседним interval. Grid Profit завершённой пары уменьшается только на комиссии её двух resting fills. Bid/ask spread и slippage относятся к разовой market setup/terminal exit, а funding — к position-time Total P&amp;L; эти слои нельзя повторно вычитать из каждой пары. Одна и та же сетка может закрываться многократно,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entry — open первой точной 1m-свечи, начинающейся строго после publication timestamp. Arithmetic grid_count означает число интервалов: N интервалов создают N+1 ценовых уровней, но dynamic Futures Grid имеет ровно N начальных заявок и один idle pivot/bridge level. Для NEUTRAL/LONG между уровнями idle bridge — ближайший верхний уровень; для SHORT — ближайший нижний. NEUTRAL стартует без позиции, поэтому все первоначальные Buy и Sell заявки являются opening orders и входят в commitment. Bybit Futures Grid Bot моделируется как unified account, cross margin и one-way position mode. Safety gate использует cross-margin equity stress на обеих kill-switch границах: committed capital, adverse inventory loss, execution cost и maintenance reserve; funding receipts и hypothetical grid profit не кредитуются. Одиночная isolated liquidation price не публикуется. Текущий контракт — grid_label_v17; первый запуск v1.0.36 сбрасывает только старые proxy outcomes/calibrators.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cross margin, one-way position mode, sizing/economics for qtyStep, minNotional, active resting-order count, full initial opening-order committed slots/notional, maximum one-way position exposure and cross-margin equity-stress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recurring grid edge &lt;2 bps или gross/fee coverage &lt;=1,10x. Spread остаётся отдельным liquidity gate, funding — отдельным inventory/schedule guard.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t>2. Сверить current price, best bid/ask spread, live net edge, TTL, Bybit metadata, funding snapshot, cross-margin equity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/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19"/>
        </w:rP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