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1.0.28 (post-publication entry and persisted grid-contract integrity).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21"/>
        </w:rPr>
        <w:t>Outcome worker ведёт равноколичественный close-to-close ledger уровней: cash, LONG/SHORT lots, replacement orders и цены inferred fills. Half round-trip cost начисляется на каждую исполненную leg и на terminal close остаточного inventory; gross завершённой arithmetic-grid пары равен полному interval.</w:t>
      </w:r>
    </w:p>
    <w:p>
      <w:pPr>
        <w:pStyle w:val="ListBullet"/>
      </w:pPr>
      <w:r>
        <w:t>Outcome entry — open первой точной 1m-свечи, начинающейся строго после publication timestamp; уже открывшаяся до публикации свеча не используется задним числом. Конфликтующие grid_count/grid_levels, разные валидные range aliases, malformed explicit range или несовместимые funding aliases делают proxy label unavailable, а не искусственным ret=0/loss. Adverse funding применяется только к фактическому net inventory на точных событиях внутри horizon. Любой finite положительный liquidation-equivalent net PnL является win без kill-switch breach. Текущий контракт — grid_label_v9; первый запуск v1.0.28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