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1.0.39 (tail-loss exact-evidence stop gate; grid cost-layer separation; Bybit cross-margin safety contract).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entry — open первой точной 1m-свечи, начинающейся строго после publication timestamp. Arithmetic grid_count означает число интервалов: N интервалов создают N+1 ценовых уровней, но dynamic Futures Grid имеет ровно N начальных заявок и один idle pivot/bridge level. Для NEUTRAL/LONG между уровнями idle bridge — ближайший верхний уровень; для SHORT — ближайший нижний. NEUTRAL стартует без позиции, поэтому все первоначальные Buy и Sell заявки являются opening orders и входят в commitment. Bybit Futures Grid Bot моделируется как unified account, cross margin и one-way position mode. Safety gate использует cross-margin equity stress на обеих kill-switch границах: committed capital, adverse inventory loss, execution cost и maintenance reserve; funding receipts и hypothetical grid profit не кредитуются. Одиночная isolated liquidation price не публикуется. Текущий контракт — grid_label_v18; первый запуск v1.0.37 сбрасывает только старые proxy outcomes/calibrators.</w:t>
      </w:r>
    </w:p>
    <w:p>
      <w:pPr>
        <w:pStyle w:val="ListBullet"/>
      </w:pPr>
      <w:r>
        <w:t>Исторический funding в proxy outcomes берётся только из фактически рассчитанных Bybit settlements, собранных через публичный funding-history endpoint. Ticker fundingRate остаётся прогнозом для approval/risk и не подменяет исторический факт. Положительная ставка означает: LONG платит, SHORT получает; отрицательная ставка меняет знак. Полученный funding входит в исторический Total P&amp;L, но прогнозное получение не улучшает approval edge. Если в момент ожидаемого funding event позиция ненулевая, а settlement row отсутствует, label не создаётся fail-closed.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t>2. Сверить current price, best bid/ask spread, live net edge, TTL, Bybit metadata, funding snapshot, cross-margin equity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После 8 независимых наблюдений по direction, 12 по symbol или 20 по portfolio отрицательный cumulative exact net PnL блокирует следующий executed независимо от median и positive rate. Высокая доля малых выигрышей не компенсирует крупный range-break loss для stop gate.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