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1.4.1 (strategy-native отображение grid/trend; выбор по доказанной risk-adjusted ожидаемой прибыльности;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pPr>
      <w:r>
        <w:t>Strategy-native отображение в «Деталях» v1.4.1</w:t>
      </w:r>
    </w:p>
    <w:p>
      <w:pPr>
        <w:pStyle w:val="ListBullet"/>
      </w:pPr>
      <w:r>
        <w:t>Сначала определите strategy family. «Фьючерсная сетка» и «Направленный тренд · одна позиция» являются отдельными кандидатами и отображаются отдельными строками даже для одного символа и времени.</w:t>
      </w:r>
    </w:p>
    <w:p>
      <w:pPr>
        <w:pStyle w:val="ListBullet"/>
      </w:pPr>
      <w:r>
        <w:t>Значение direction=neutral зависит от стратегии. Для futures_grid это валидная «Нейтральная сетка». Для directional_trend это «Направление не определено»: LONG/SHORT не подтверждён, позицию открывать нельзя.</w:t>
      </w:r>
    </w:p>
    <w:p>
      <w:pPr>
        <w:pStyle w:val="ListBullet"/>
      </w:pPr>
      <w:r>
        <w:t>В trend-карточке допустимы только причины и действия про подтверждение LONG/SHORT, entry/TP/SL, single-position contract и first-touch evidence. Советы про диапазон, шаги сетки или запуск сетки относятся только к futures_grid.</w:t>
      </w:r>
    </w:p>
    <w:p>
      <w:pPr>
        <w:pStyle w:val="ListBullet"/>
      </w:pPr>
      <w:r>
        <w:t>В grid-карточке не должны появляться DIRECTIONAL_TREND_* причины, TP/SL remediation одной позиции или first-touch action. Если такие элементы видны, сохраните диагностику JSON и не запускайте торговый план.</w:t>
      </w:r>
    </w:p>
    <w:p>
      <w:pPr>
        <w:pStyle w:val="ListBullet"/>
      </w:pPr>
      <w:r>
        <w:t>Технический machine code может сохраняться на английском для аудита, но связное объяснение и безопасное следующее действие показываются по-русски. Повтор одного конкретного кода из сохранённой и live-проверки отображается один раз.</w:t>
      </w:r>
    </w:p>
    <w:p>
      <w:pPr>
        <w:pStyle w:val="Heading1"/>
        <w:spacing w:before="200" w:after="100"/>
      </w:pPr>
      <w:r>
        <w:t>Выбор стратегии и наблюдаемость v1.4.0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pPr>
      <w:r>
        <w:t>First-touch модель directional trend v1.3.0</w:t>
      </w:r>
    </w:p>
    <w:p>
      <w:pPr>
        <w:pStyle w:val="ListBullet"/>
      </w:pPr>
      <w:r>
        <w:t>Trend-outcome хранит явный тип события: TP_FIRST, SL_FIRST, HORIZON_EXIT или AMBIGUOUS. TP_FIRST означает доказанное достижение TP раньше SL; прибыльный выход по времени остаётся HORIZON_EXIT и не переименовывается в TP_FIRST.</w:t>
      </w:r>
    </w:p>
    <w:p>
      <w:pPr>
        <w:pStyle w:val="ListBullet"/>
      </w:pPr>
      <w:r>
        <w:t>Если одна минутная свеча касается TP и SL либо порядок касаний недоказуем, наблюдение цензурируется. Оператор не должен вручную назначать ему успех или неуспех.</w:t>
      </w:r>
    </w:p>
    <w:p>
      <w:pPr>
        <w:pStyle w:val="ListBullet"/>
      </w:pPr>
      <w:r>
        <w:t>В деталях trend-кандидата отдельно проверяйте P(TP раньше SL), P(SL раньше TP), вероятность выхода по времени, first-touch EV и её нижнюю доверительную границу. Бинарная вероятность успеха сама по себе не разрешает сделку.</w:t>
      </w:r>
    </w:p>
    <w:p>
      <w:pPr>
        <w:pStyle w:val="ListBullet"/>
      </w:pPr>
      <w:r>
        <w:t>Trend допускается router-ом только когда консервативная нижняя оценка P(TP_FIRST) выше верхней оценки P(SL_FIRST), а first-touch EV и её lower bound положительны после комиссий, проскальзывания и adverse funding.</w:t>
      </w:r>
    </w:p>
    <w:p>
      <w:pPr>
        <w:pStyle w:val="ListBullet"/>
      </w:pPr>
      <w:r>
        <w:t>Статусы model unavailable, order uncertain, expectancy non-positive или AMBIGUOUS означают НЕ ТОРГОВАТЬ. Сервис по-прежнему не отправляет биржевой ордер.</w:t>
      </w:r>
    </w:p>
    <w:p>
      <w:pPr>
        <w:pStyle w:val="Heading1"/>
      </w:pPr>
      <w:r>
        <w:t>Сквозная наблюдаемость grid/trend v1.4.0</w:t>
      </w:r>
    </w:p>
    <w:p>
      <w:pPr>
        <w:pStyle w:val="ListBullet"/>
      </w:pPr>
      <w:r>
        <w:t>Окно «Детали» обязано показывать стратегию и её собственную торговую геометрию. Для futures_grid это reference, диапазон, число уровней и внешние защитные границы; для directional_trend — одна позиция, entry, TP и SL. Уровни одной стратегии запрещено выводить через формулы другой.</w:t>
      </w:r>
    </w:p>
    <w:p>
      <w:pPr>
        <w:pStyle w:val="ListBullet"/>
      </w:pPr>
      <w:r>
        <w:t>Сразу после публикации рекомендации система создаёт durable запись очереди исхода с точным сроком созревания. До истечения 12-часового горизонта в «Деталях» и «Здоровье» должно отображаться «ожидает горизонта», а не ложный ноль или отсутствие исхода.</w:t>
      </w:r>
    </w:p>
    <w:p>
      <w:pPr>
        <w:pStyle w:val="ListBullet"/>
      </w:pPr>
      <w:r>
        <w:t>В «Исходах» проверяйте bot_type и канонический event_type. Для grid используется GRID_OUTCOME; для trend — TP_FIRST, SL_FIRST или HORIZON_EXIT. AMBIGUOUS хранится только как цензурированная диагностика и не должен появляться как размеченный outcome.</w:t>
      </w:r>
    </w:p>
    <w:p>
      <w:pPr>
        <w:pStyle w:val="ListBullet"/>
      </w:pPr>
      <w:r>
        <w:t>В «Журнале» каждая запись должна явно содержать strategy family, symbol, direction, recommendation status и model version. Без strategy family одинаковые машинные коды grid и trend нельзя интерпретировать безопасно.</w:t>
      </w:r>
    </w:p>
    <w:p>
      <w:pPr>
        <w:pStyle w:val="ListBullet"/>
      </w:pPr>
      <w:r>
        <w:t>В «Здоровье» очереди, созревшие исходы, calibrator readiness и семантическая целостность показываются отдельно для futures_grid и directional_trend. Ошибки orphan outcome, неверного root, отсутствующей observability или несовместимого event_type являются блокирующей диагностикой, а не косметическим предупреждением.</w:t>
      </w:r>
    </w:p>
    <w:p>
      <w:pPr>
        <w:pStyle w:val="ListBullet"/>
      </w:pPr>
      <w:r>
        <w:t>График истории строится только по сохранённой на момент публикации геометрии. Пропущенный TP, SL, диапазон или защитная граница образуют разрыв линии; интерфейс не имеет права достраивать историю по текущим биржевым metadata. Multi-point история должна строиться без JavaScript-ошибок для обеих стратегий.</w:t>
      </w:r>
    </w:p>
    <w:p>
      <w:pPr>
        <w:pStyle w:val="ListBullet"/>
      </w:pPr>
      <w:r>
        <w:t>Сообщения «ошибка сети», «ошибка данных» и «ошибка построения» различаются. Пустой ответ API, повреждённый JSON или исключение renderer должны быть видимы оператору и не маскироваться пустой таблицей.</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logreg_directional_trend_v2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v1.4.0</dc:title>
  <dc:subject>Strategy-native grid/trend observability, first-touch outcomes and recommendation/audit workflow</dc:subject>
  <dc:creator>python-docx</dc:creator>
  <cp:keywords>Bybit, futures_grid, directional_trend, outcomes, observability, first-touch, operator UI</cp:keywords>
  <dc:description>Updated 2026-07-19 for v1.4.0 strategy observability and UI integrity.</dc:description>
  <cp:lastModifiedBy/>
  <cp:revision>1</cp:revision>
  <dcterms:created xsi:type="dcterms:W3CDTF">2013-12-23T23:15:00Z</dcterms:created>
  <dcterms:modified xsi:type="dcterms:W3CDTF">2013-12-23T23:15:00Z</dcterms:modified>
  <cp:category/>
  <cp:version>1.0.17</cp:version>
</cp:coreProperties>
</file>