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Инструкция оператора Bybit Recommender</w:t>
      </w:r>
    </w:p>
    <w:p>
      <w:pPr/>
      <w:r>
        <w:t>Версия документа: 1.0.56 (new calibration model lineage; historical/current/eligible evidence separation; configurable mean-reversion candidate floor; non-overlapping temporal decision cohorts; no runtime order executability)</w:t>
      </w:r>
    </w:p>
    <w:p>
      <w:r>
        <w:t>Назначение: регламент интерпретации рекомендаций и исторических proxy-outcomes в paper/shadow-режиме. Документ не является инструкцией по переносу параметров в биржевой бот.</w:t>
      </w:r>
    </w:p>
    <w:p>
      <w:r>
        <w:t>Граница системы. Репозиторий является recommendation/audit service, not OMS/EMS. Он не выставляет ордера, не подтверждает runtime-исполнимость, не знает очередь, partial fills, состояние аккаунта или фактическую доступность маржи. Статус recommended означает модельный сигнал, а не готовый к исполнению ордер.</w:t>
      </w:r>
    </w:p>
    <w:p>
      <w:pPr>
        <w:pStyle w:val="Heading1"/>
      </w:pPr>
      <w:r>
        <w:t>История исходов и текущая model lineage</w:t>
      </w:r>
    </w:p>
    <w:p>
      <w:r>
        <w:t>После обновления v1.0.56 таблица reco_outcomes не очищается: старые строки остаются неизменяемой аудиторской историей. Однако они не считаются evidence текущей модели и не ускоряют обучение нового калибратора.</w:t>
      </w:r>
    </w:p>
    <w:p>
      <w:r>
        <w:t>Оператор должен различать: исторический архив; outcomes текущей model_version; feature-eligible rows; фактически принятые fit rows; независимые matured temporal cohorts. Для новой lineage нормальное начальное состояние — архив непуст, а current/eligible/fit/time_clusters равны нулю.</w:t>
      </w:r>
    </w:p>
    <w:p>
      <w:pPr>
        <w:pStyle w:val="Heading1"/>
      </w:pPr>
      <w:r>
        <w:t>Граница исторического моделирования</w:t>
      </w:r>
    </w:p>
    <w:p>
      <w:pPr/>
      <w:r>
        <w:t>Recommendation publication и outcome labeling не зависят от текущих Bybit tickSize, qtyStep, minOrderQty, minNotional или статуса инструмента. Отсутствие этих данных не переводит рекомендацию в blocked и не отменяет созревший исторический outcome.</w:t>
      </w:r>
    </w:p>
    <w:p>
      <w:pPr/>
      <w:r>
        <w:t>В reasons.simulation_scope должны быть: mode=historical_proxy_only, runtime_order_submission=false, runtime_execution_validation=not_performed, exchange_fill_attestation=not_available. Это основной контракт текущей версии 1.0.56.</w:t>
      </w:r>
    </w:p>
    <w:p>
      <w:pPr/>
      <w:r>
        <w:t>Явный preflight с текущими биржевыми фильтрами может использоваться только как отдельная справочная диагностика. Он не изменяет сохранённую рекомендацию, её статус, историческую геометрию, outcome или calibration evidence.</w:t>
      </w:r>
    </w:p>
    <w:p>
      <w:pPr>
        <w:pStyle w:val="Heading1"/>
      </w:pPr>
      <w:r>
        <w:t>Объёмное подтверждение proxy fills</w:t>
      </w:r>
    </w:p>
    <w:p>
      <w:pPr/>
      <w:r>
        <w:t>Trade-through означает только, что рынок прошёл за лимитный уровень. Полный proxy fill не подтверждён, если размер модельной заявки превышает весь наблюдаемый минутный объём.</w:t>
      </w:r>
    </w:p>
    <w:p>
      <w:pPr/>
      <w:r>
        <w:t>Для grid_label_v26 стартовая directional-позиция и все смоделированные fills расходуют общий candle-volume budget в base/contract quantity. Коды insufficient_candle_volume_for_full_fill и insufficient_candle_volume_for_initial_inventory означают: outcome unavailable, статистического evidence нет.</w:t>
      </w:r>
    </w:p>
    <w:p>
      <w:pPr/>
      <w:r>
        <w:t>Даже достаточный общий объём не доказывает очередь, ликвидность на конкретном уровне, partial fills или отсутствие market impact. Это консервативная историческая модель, а не exchange-attested execution.</w:t>
      </w:r>
    </w:p>
    <w:p>
      <w:pPr>
        <w:pStyle w:val="Heading2"/>
      </w:pPr>
      <w:r>
        <w:t>Ликвидность на границе horizon и при защитном закрытии</w:t>
      </w:r>
    </w:p>
    <w:p>
      <w:r>
        <w:t>Объёмный бюджет одной минутной свечи заканчивается вместе с этой свечой. Gap-fill на точном horizon-open не может использовать объём предыдущей минуты: он и terminal close остаточной позиции расходуют единый бюджет граничной свечи.</w:t>
      </w:r>
    </w:p>
    <w:p>
      <w:r>
        <w:t>При kill-switch все grid-fills до защитной границы и закрытие остаточного inventory расходуют единый объём breach-candle. Коды insufficient_candle_volume_for_terminal_liquidation и insufficient_candle_volume_for_kill_switch_liquidation означают NO EVIDENCE, а не частичную прибыль или убыток.</w:t>
      </w:r>
    </w:p>
    <w:p>
      <w:r>
        <w:t>Стратегический horizon не увеличивается: для futures_grid он остаётся 12 часов. Но label_available_ts наступает через 60 секунд после horizon-end, когда полный объём граничной минуты уже исторически известен. Это proxy-правило, а не runtime-подтверждение исполнения.</w:t>
      </w:r>
    </w:p>
    <w:p>
      <w:pPr>
        <w:pStyle w:val="Heading1"/>
      </w:pPr>
      <w:r>
        <w:t>Консервативная цена kill-switch</w:t>
      </w:r>
    </w:p>
    <w:p>
      <w:pPr/>
      <w:r>
        <w:t>При внутрисвечном пробое защитной границы историческая модель сначала обрабатывает resting grid-orders только до kill-switch. Остаточная позиция не считается идеально закрытой ровно по trigger-price, если свеча уже доказывает дальнейшее неблагоприятное движение.</w:t>
      </w:r>
    </w:p>
    <w:p>
      <w:pPr/>
      <w:r>
        <w:t>Residual SHORT при пробое верхнего kill-switch закрывается по наблюдаемому high свечи; residual LONG при пробое нижнего kill-switch — по наблюдаемому low. Если продолжение цены выгодно остаточной позиции, положительное проскальзывание не кредитуется и сохраняется цена границы.</w:t>
      </w:r>
    </w:p>
    <w:p>
      <w:pPr/>
      <w:r>
        <w:t>Диагностика: kill_switch_fill_confirmation=adverse_observed_extreme_v1, kill_switch_boundary_price, kill_switch_observed_extreme и kill_switch_liquidation_price. Gap, перескочивший границу между свечами, по-прежнему не размечается.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deterministic data/risk/model blocker означает NO TRADE. Необязательная текущая preflight-диагностика не переписывает модельный статус.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модельного сигнала, а не вероятность прибыли и не runtime-исполнимость. Даже calibrated confidence относится только к proxy outcomes. Поле expected_rr в UI отображается как «Прокси capture/risk» и не является фактическим отношением прибыли к убытку.</w:t>
      </w:r>
    </w:p>
    <w:p>
      <w:pPr>
        <w:pStyle w:val="Heading1"/>
      </w:pPr>
      <w:r>
        <w:t>Purged OOF для feature LogReg</w:t>
      </w:r>
    </w:p>
    <w:p>
      <w:r>
        <w:t>Полная feature LogReg не считается калиброванной только потому, что коэффициенты успешно обучены на всей retained-выборке. Для источника bot_logreg требуется не менее CALIB_MIN_SAMPLES действительно out-of-fold прогнозов, полученных хронологически после purging по label_available_ts, и fitted Platt-on-top на этих OOF logits.</w:t>
      </w:r>
    </w:p>
    <w:p>
      <w:r>
        <w:t>В confidence_model проверяйте purged_oof_status, purged_oof_samples и purged_oof_required_samples. Статус sufficient и samples &gt;= required разрешают feature LogReg. insufficient/error означает, что feature coefficients не используются; система возвращается к score-only Platt или capped raw confidence.</w:t>
      </w:r>
    </w:p>
    <w:p>
      <w:r>
        <w:t>Fallback не отменяет monetary expectancy, temporal-cluster lower bound, blocked/no_trade и другие deterministic gates. Score-only Platt является более простым proxy-calibration слоем и не доказывает generalisation feature model или live profitability.</w:t>
      </w:r>
    </w:p>
    <w:p>
      <w:pPr>
        <w:pStyle w:val="Heading1"/>
      </w:pPr>
      <w:r>
        <w:t>Независимость временных evidence-кластеров</w:t>
      </w:r>
    </w:p>
    <w:p>
      <w:r>
        <w:t>Количество монет не равно количеству независимых экспериментов. Сначала outcomes с одинаковым временем решения ts объединяются в один поперечный временной cohort. Затем из cohort-интервалов [ts, label_available_ts] выбирается максимальное по числу детерминированное множество попарно непересекающихся интервалов методом earliest-finish. Транзитивное перекрытие больше не склеивает непрерывную историю в один бесконечно растущий кластер.</w:t>
      </w:r>
    </w:p>
    <w:p>
      <w:r>
        <w:t>Для штатного CALIB_MIN_SAMPLES=80 требуется минимум 20 эффективных попарно неперекрывающихся time cohorts. Строки с одинаковым recommendation timestamp сначала объединяются в одно cross-sectional решение, затем earliest-finish scheduling выбирает максимальный набор неперекрывающихся интервалов. В confidence_model проверьте time_clusters и time_cluster_lower_bound: нижняя односторонняя 95% граница должна быть строго положительной одновременно на уровне строк и cohort means.</w:t>
      </w:r>
    </w:p>
    <w:p>
      <w:r>
        <w:t>Недостаток временных кластеров, отсутствующая диагностика или неположительная cluster lower bound означает shadow NO TRADE с PROXY_MONETARY_EXPECTANCY_UNPROVEN. Высокий score, win rate или десятки коррелированных символов не являются основанием для обхода.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Actionable futures_grid допускается только когда текущая независимая matured-return выборка имеет достаточный Kish effective sample size и одностороннюю 95% нижнюю границу recency-weighted mean proxy return строго выше нуля. Статусы expectancy_status=unknown, insufficient или uncertain означают NO_TRADE с кодом PROXY_MONETARY_EXPECTANCY_UNPROVEN; weighted mean &lt;= 0 означает PROXY_MONETARY_EXPECTANCY_NON_POSITIVE. Raw confidence, median, win rate и положительное наблюдаемое среднее не могут отменить этот gate. В confidence_model проверяйте weighted_effective_return_samples, weighted_return_std, weighted_mean_return_lower_bound и expectancy_confidence_level. Положительный calibrator обязан воспроизводиться из текущей retained outcome-выборки после истечения cache interval.</w:t>
      </w:r>
    </w:p>
    <w:p>
      <w:pPr/>
      <w:r>
        <w:t>Это защитный OHLCV proxy gate, а не доказательство live edge, исполнимости или гарантии прибыли. Внешняя post-hoc сверка с fills может использоваться отдельным исследованием, но не является runtime-контрактом системы.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t>MEAN_REVERSION_EVIDENCE_INSUFFICIENT означает hard blocked из-за недостатка обязательных исторических данных. MEAN_REVERSION_EDGE_UNCONFIRMED означает strategy no_trade: evidence рассчитан, но score ниже MEAN_REVERSION_MIN_SCORE (по умолчанию 0.25). Этот порог является candidate screen и не доказывает ни прибыль, ни отрицательное ожидание; monetary expectancy проверяется отдельно по matured outcomes. Высокий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contract остаётся grid_label_v26. Версия 1.0.56 не удаляет исторические outcomes: они сохраняются как аудиторский архив. Новая recommendation lineage v7 допускает в обучение только новые совместимые outcomes; bot/global calibrators используют identity v18, direction calibrator — v13.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Для canonical proxy ret и monetary calibration adverse settled funding всегда вычитается, а положительный receipt не кредитуется как устойчивый alpha и не может превратить плоскую/убыточную сетку в success. Signed funding остаётся диагностикой исторической модели; возможная внешняя post-hoc сверка не входит в runtime-контракт системы.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t>Hard blocked: MEAN_REVERSION_EVIDENCE_INSUFFICIENT, INVALID_MARKET_REFERENCE_PRICE и иные data/risk/model failures. Strategy no_trade: MEAN_REVERSION_EDGE_UNCONFIRMED либо непрохождение 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t>В explicit operator preflight отсутствующие tickSize, qtyStep, minNotional, leverageFilter или non-Trading status делают только текущую справочную проверку недоступной; historical recommendation/outcome из-за этого не блокируются.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t>1. Проверить status/effective_status: blocked означает жёсткий data/risk/model отказ; no_trade означает неподтверждённый тезис или статистический/economic gate.</w:t>
      </w:r>
    </w:p>
    <w:p>
      <w:r>
        <w:t>2. Сверить полноту исторических данных, features_ref_ts, horizon, cost/funding assumptions, simulation_scope и денежные/временные diagnostics.</w:t>
      </w:r>
    </w:p>
    <w:p>
      <w:r>
        <w:t>3. Не интерпретировать trade_plan как готовый биржевой payload: это геометрия исторической симуляции.</w:t>
      </w:r>
    </w:p>
    <w:p>
      <w:r>
        <w:t>4. Не снижать severity guard-а вручную и не превращать blocked/no_trade в положительный исследовательский результат.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exchange fill и не основание утверждать исполнимость.</w:t>
      </w:r>
    </w:p>
    <w:p>
      <w:pPr>
        <w:pStyle w:val="ListBullet"/>
      </w:pPr>
      <w:r>
        <w:t>Необученный или статистически неподтверждённый bot-specific calibrator означает shadow NO_TRADE: raw confidence остаётся audit-only и не может сделать рекомендацию actionable. Stale положительный calibrator не заменяет текущую evidence-выборку; после refit при insufficient старые коэффициенты отключаются. Подтверждённый expectancy_status=negative сохраняется консервативно до появления новой выборки с положительной односторонней нижней границей.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t>Нет положительных модельных рекомендаций</w:t>
      </w:r>
    </w:p>
    <w:p>
      <w:pPr>
        <w:pStyle w:val="Heading1"/>
      </w:pPr>
      <w:r>
        <w:t>Опциональная внешняя post-hoc сверка PnL</w:t>
      </w:r>
    </w:p>
    <w:p>
      <w:pPr>
        <w:pStyle w:val="ListBullet"/>
      </w:pPr>
      <w:r>
        <w:t>Если отдельно подключена внешняя post-hoc сверка, каждый fill передаётся immutable event с execId/orderId, price/qty и связью с rec_id. Этот контур не используется для runtime-публикации рекомендаций и не меняет историческую fill-модель.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внешней post-hoc диагностики может фиксироваться отдельный timestamped benchmark; он не является обязательной частью системы исторического моделирования.</w:t>
      </w:r>
    </w:p>
    <w:p>
      <w:pPr>
        <w:pStyle w:val="ListBullet"/>
      </w:pPr>
      <w:r>
        <w:t>Чтение внешнего execution evidence требует ADMIN_API_KEY. Такая статистика descriptive-only и отделена от recommendation/outcome publication path.</w:t>
      </w:r>
    </w:p>
    <w:p>
      <w:pPr>
        <w:pStyle w:val="ListBullet"/>
      </w:pPr>
      <w:r>
        <w:t>При использовании внешнего адаптера он обязан преобразовать millisecond timestamps в UTC seconds, сохранить исходный payload и учесть fee/rebates. Это отдельная интеграция, а не runtime-функция рекомендательной системы.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t>Опциональная terminal finalization внешнего evidence</w:t>
      </w:r>
    </w:p>
    <w:p>
      <w:pPr>
        <w:pStyle w:val="ListBullet"/>
      </w:pPr>
      <w:r>
        <w:t>Частичные события сохраняются immutable и видимы в audit API, но не входят в LIVE_VALIDATION_* до передачи всех opening/closing fills и signed funding внешним read-only adapter-ом.</w:t>
      </w:r>
    </w:p>
    <w:p>
      <w:pPr>
        <w:pStyle w:val="ListBullet"/>
      </w:pPr>
      <w:r>
        <w:t>Проверяйте поля total_pnl_finalized=true, position_flat=true и net_position_qty около нуля. validation_ineligible_reasons объясняет отсутствие eligibility.</w:t>
      </w:r>
    </w:p>
    <w:p>
      <w:pPr>
        <w:pStyle w:val="ListBullet"/>
      </w:pPr>
      <w:r>
        <w:t>Stopped status сам по себе не означает завершённый PnL. Любой unmatched Buy/Sell quantity означает residual inventory и исключает bot из live-validation.</w:t>
      </w:r>
    </w:p>
    <w:p>
      <w:pPr>
        <w:pStyle w:val="Heading1"/>
      </w:pPr>
      <w:r>
        <w:t>Опциональный stop-критерий по внешнему evidence</w:t>
      </w:r>
    </w:p>
    <w:p>
      <w:pPr>
        <w:pStyle w:val="ListBullet"/>
      </w:pPr>
      <w:r>
        <w:t>При отдельно включённой post-hoc validation в gate входят только stopped bots той же model_version с terminally finalized evidence. Текущая версия сигнала: bybit-taxonomy-v7-mr-floor-temporal-cohorts. Текущие ключи: logreg_futures_grid_v18, logreg_global_v18 и platt_direction_v13.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Историческая справка v1.0.48: обязательная exchange geometry (отменена в v1.0.51)</w:t>
      </w:r>
    </w:p>
    <w:p>
      <w:r>
        <w:t>Описанное ниже обязательное применение текущих Bybit-фильтров было удалено в v1.0.51 как несоответствующее historical-only контракту.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Диапазон, reference, kill-switch и grid step должны быть кратны tick_size.</w:t>
      </w:r>
    </w:p>
    <w:p>
      <w:pPr>
        <w:pStyle w:val="ListBullet"/>
        <w:spacing w:after="60"/>
      </w:pPr>
      <w:r>
        <w:t>Количество на ордер должно быть кратно qty_step и не ниже min_order_qty/min_notional.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Точное касание свечой лимитного уровня не считается исполнением: Buy требует движения ниже уровня, Sell - выше.</w:t>
      </w:r>
    </w:p>
    <w:p>
      <w:pPr>
        <w:pStyle w:val="ListBullet"/>
        <w:spacing w:after="60"/>
      </w:pPr>
      <w:r>
        <w:t>Даже strict trade-through остаётся proxy и не доказывает queue priority, объём и partial fills.</w:t>
      </w:r>
    </w:p>
    <w:p>
      <w:pPr>
        <w:pStyle w:val="ListBullet"/>
        <w:spacing w:after="60"/>
      </w:pPr>
      <w:r>
        <w:t>После обновления v1.0.53 старые proxy outcomes/calibrators очищаются; ожидайте новую grid_label_v26 выборку.</w:t>
      </w:r>
    </w:p>
    <w:p>
      <w:r>
        <w:t>Операторское правило v1.0.53: не трактовать рекомендацию как биржевой ордер или подтверждение runtime-исполнимости.</w:t>
      </w:r>
    </w:p>
    <w:p>
      <w:pPr>
        <w:pStyle w:val="Heading1"/>
      </w:pPr>
      <w:r>
        <w:t>Обновление v1.0.50: время активации replacement-ордера</w:t>
      </w:r>
    </w:p>
    <w:p>
      <w:pPr>
        <w:pStyle w:val="ListBullet"/>
      </w:pPr>
      <w:r>
        <w:rPr>
          <w:sz w:val="20"/>
        </w:rPr>
        <w:t>Fill исходного grid-ордера и fill созданного после него replacement-ордера внутри одной минутной свечи не считаются доказанным циклом.</w:t>
      </w:r>
    </w:p>
    <w:p>
      <w:pPr>
        <w:pStyle w:val="ListBullet"/>
      </w:pPr>
      <w:r>
        <w:rPr>
          <w:sz w:val="20"/>
        </w:rPr>
        <w:t>OHLCV не содержит точного времени parent fill, задержки реакции бота, времени отправки/подтверждения replacement и его места в очереди Bybit.</w:t>
      </w:r>
    </w:p>
    <w:p>
      <w:pPr>
        <w:pStyle w:val="ListBullet"/>
      </w:pPr>
      <w:r>
        <w:rPr>
          <w:sz w:val="20"/>
        </w:rPr>
        <w:t>Если цена в той же свече пересекает только что созданный replacement, outcome недоступен с кодом intrabar_replacement_fill_timing_unobservable. Это NO EVIDENCE / NO TRADE, а не убыток и не прибыль.</w:t>
      </w:r>
    </w:p>
    <w:p>
      <w:pPr>
        <w:pStyle w:val="ListBullet"/>
      </w:pPr>
      <w:r>
        <w:rPr>
          <w:sz w:val="20"/>
        </w:rPr>
        <w:t>Replacement становится допустимым для proxy-модели с начала следующей свечи. Цикл, подтверждённый в разных свечах, оценивается по прежней PnL/fee/funding/volume-математике.</w:t>
      </w:r>
    </w:p>
    <w:p>
      <w:pPr>
        <w:pStyle w:val="ListBullet"/>
      </w:pPr>
      <w:r>
        <w:t>Даже межсвечное proxy-исполнение не доказывает queue priority, partial fills или фактическую задержку; это ограниченная историческая модель.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оператора Bybit Recommender v1.0.55</dc:title>
  <dc:subject>Mean-reversion candidate screen and temporal-evidence recovery</dc:subject>
  <dc:creator>python-docx</dc:creator>
  <cp:keywords/>
  <dc:description>Updated for v1.0.55 audit iteration.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