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Инструкция оператора Bybit Recommender</w:t>
      </w:r>
    </w:p>
    <w:p>
      <w:r>
        <w:t>Назначение: быстрый регламент проверки рекомендации перед ручным переносом параметров в Bybit Futures Grid Bot.</w:t>
      </w:r>
    </w:p>
    <w:p>
      <w:r>
        <w:rPr>
          <w:b/>
        </w:rPr>
        <w:t xml:space="preserve">Граница системы. </w:t>
      </w:r>
      <w:r>
        <w:t>Репозиторий является recommendation/audit service, not OMS/EMS. Он не управляет live order lifecycle, open orders, fills, partial fills или reconciliation. Перед реальным запуском внешний execution-layer обязан повторно проверить Bybit account state, баланс, маржу, открытые ордера и фактические лимиты инструмента.</w:t>
      </w:r>
    </w:p>
    <w:p>
      <w:pPr>
        <w:pStyle w:val="Heading1"/>
      </w:pPr>
      <w:r>
        <w:t>Профиль риска поставки</w:t>
      </w:r>
    </w:p>
    <w:p>
      <w:pPr>
        <w:pStyle w:val="ListBullet"/>
      </w:pPr>
      <w:r>
        <w:t>`min_leverage=3`, `max_leverage=5`; 3-5x is the baseline actionable leverage interval.</w:t>
      </w:r>
    </w:p>
    <w:p>
      <w:pPr>
        <w:pStyle w:val="ListBullet"/>
      </w:pPr>
      <w:r>
        <w:t>По умолчанию разрешён один running bot на аккаунт/символ.</w:t>
      </w:r>
    </w:p>
    <w:p>
      <w:pPr>
        <w:pStyle w:val="ListBullet"/>
      </w:pPr>
      <w:r>
        <w:t>Поддерживается только Bybit Linear USDT Futures Grid; spot/inverse/options/non-USDT блокируются.</w:t>
      </w:r>
    </w:p>
    <w:p>
      <w:pPr>
        <w:pStyle w:val="ListBullet"/>
      </w:pPr>
      <w:r>
        <w:t>Любой blocking/critical preflight означает NO TRADE.</w:t>
      </w:r>
    </w:p>
    <w:p>
      <w:pPr>
        <w:pStyle w:val="Heading1"/>
      </w:pPr>
      <w:r>
        <w:t>Устойчивость сигнала и идентичность рекомендации</w:t>
      </w:r>
    </w:p>
    <w:p>
      <w:pPr/>
      <w: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t>Raw confidence — эвристическое качество запуска, а не вероятность прибыли. Даже calibrated confidence относится к proxy outcomes и не подтверждает live edge без walk-forward/shadow статистики по фактическим fills и costs. Поле expected_rr в UI отображается как «Прокси capture/risk»: это не фактическое отношение прибыли к убытку.</w:t>
      </w:r>
    </w:p>
    <w:p>
      <w:pPr>
        <w:pStyle w:val="Heading1"/>
      </w:pPr>
      <w:r>
        <w:t>Подтверждение диапазонного edge</w:t>
      </w:r>
    </w:p>
    <w:p>
      <w:pPr/>
      <w:r>
        <w:t>Низкий trendiness или плоский MA slope сами по себе не подтверждают диапазон: так же выглядит driftless/random-walk path, у которого комиссии и spread создают отрицательное ожидание.</w:t>
      </w:r>
    </w:p>
    <w:p>
      <w:pPr/>
      <w:r>
        <w:t>Actionable futures_grid требует независимого anti-persistence evidence минимум на трёх закрытых timeframes: lag-1 return autocorrelation, variance ratio и sign-reversal rate.</w:t>
      </w:r>
    </w:p>
    <w:p>
      <w:pPr/>
      <w:r>
        <w:t>MEAN_REVERSION_EVIDENCE_INSUFFICIENT или MEAN_REVERSION_EDGE_UNCONFIRMED означает NO TRADE; высокий legacy range score, raw confidence или LLM verdict блок не отменяют.</w:t>
      </w:r>
    </w:p>
    <w:p>
      <w:pPr>
        <w:pStyle w:val="Heading1"/>
      </w:pPr>
      <w:r>
        <w:t>Directional TP/SL</w:t>
      </w:r>
    </w:p>
    <w:p>
      <w:pPr>
        <w:pStyle w:val="ListBullet"/>
      </w:pPr>
      <w:r>
        <w:t>Long: TP above entry/reference, SL below entry/reference.</w:t>
      </w:r>
    </w:p>
    <w:p>
      <w:pPr>
        <w:pStyle w:val="ListBullet"/>
      </w:pPr>
      <w:r>
        <w:t>Short: TP below entry/reference, SL above entry/reference.</w:t>
      </w:r>
    </w:p>
    <w:p>
      <w:pPr>
        <w:pStyle w:val="ListBullet"/>
      </w:pPr>
      <w: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t>Обязательный trade plan</w:t>
      </w:r>
    </w:p>
    <w:p>
      <w:pPr>
        <w:pStyle w:val="ListBullet"/>
      </w:pPr>
      <w:r>
        <w:t>Complete `params.trade_plan` exists; no empty/corrupted payload.</w:t>
      </w:r>
    </w:p>
    <w:p>
      <w:pPr>
        <w:pStyle w:val="ListBullet"/>
      </w:pPr>
      <w:r>
        <w:t>reference_price; levels.range.lower/upper; levels.kill_switch.lower/upper.</w:t>
      </w:r>
    </w:p>
    <w:p>
      <w:pPr>
        <w:pStyle w:val="ListBullet"/>
      </w:pPr>
      <w:r>
        <w:t>levels.grid_step.step_abs; tp_per_leg; grid_count; arithmetic grid model.</w:t>
      </w:r>
    </w:p>
    <w:p>
      <w:pPr>
        <w:pStyle w:val="ListBullet"/>
      </w:pPr>
      <w:r>
        <w:t>explicit leverage, isolated margin mode, sizing/economics for qtyStep, minNotional and margin checks.</w:t>
      </w:r>
    </w:p>
    <w:p>
      <w:pPr>
        <w:pStyle w:val="Heading1"/>
      </w:pPr>
      <w:r>
        <w:t>NO TRADE условия</w:t>
      </w:r>
    </w:p>
    <w:p>
      <w:pPr>
        <w:pStyle w:val="ListBullet"/>
      </w:pPr>
      <w:r>
        <w:t>MEAN_REVERSION_EVIDENCE_INSUFFICIENT; MEAN_REVERSION_EDGE_UNCONFIRMED; INVALID_MARKET_REFERENCE_PRICE.</w:t>
      </w:r>
    </w:p>
    <w:p>
      <w:pPr>
        <w:pStyle w:val="ListBullet"/>
      </w:pPr>
      <w:r>
        <w:t>Устаревшая publication-chain, stale market data, live ticker вне range/kill-switch, отсутствующая пара bid/ask, spread &gt;14 bps, live net edge &lt;2 bps или gross/cost coverage &lt;=1,10x.</w:t>
      </w:r>
    </w:p>
    <w:p>
      <w:pPr>
        <w:pStyle w:val="ListBullet"/>
      </w:pPr>
      <w:r>
        <w:t>Отсутствующие tickSize, qtyStep, minNotional, leverageFilter, non-Trading status.</w:t>
      </w:r>
    </w:p>
    <w:p>
      <w:pPr>
        <w:pStyle w:val="ListBullet"/>
      </w:pPr>
      <w: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t>Unknown/conflicting same-symbol direction in one-way mode.</w:t>
      </w:r>
    </w:p>
    <w:p>
      <w:pPr>
        <w:pStyle w:val="Heading1"/>
      </w:pPr>
      <w:r>
        <w:t>Практическая последовательность</w:t>
      </w:r>
    </w:p>
    <w:p>
      <w:r>
        <w:rPr>
          <w:b/>
        </w:rPr>
        <w:t xml:space="preserve">1. </w:t>
      </w:r>
      <w:r>
        <w:t>Проверить status/effective_status и отсутствие blocking errors.</w:t>
      </w:r>
    </w:p>
    <w:p>
      <w:r>
        <w:rPr>
          <w:b/>
        </w:rPr>
        <w:t xml:space="preserve">2. Сверить current price, best bid/ask spread, live net edge, TTL, Bybit metadata, funding snapshot и liquidation buffer.</w:t>
      </w:r>
      <w:r>
        <w:t/>
      </w:r>
    </w:p>
    <w:p>
      <w:r>
        <w:rPr>
          <w:b/>
        </w:rPr>
        <w:t xml:space="preserve">3. </w:t>
      </w:r>
      <w:r>
        <w:t>Переносить в Bybit только полный trade_plan; не использовать пустой/legacy payload.</w:t>
      </w:r>
    </w:p>
    <w:p>
      <w:r>
        <w:rPr>
          <w:b/>
        </w:rPr>
        <w:t xml:space="preserve">4. </w:t>
      </w:r>
      <w:r>
        <w:t>Не снижать severity guard-а вручную и не запускать при блокировках.</w:t>
      </w:r>
    </w:p>
    <w:p>
      <w:r>
        <w:br w:type="page"/>
      </w:r>
    </w:p>
    <w:p>
      <w:pPr>
        <w:pStyle w:val="Heading1"/>
      </w:pPr>
      <w:r>
        <w:t>Учёт фактического исполнения и PnL</w:t>
      </w:r>
    </w:p>
    <w:p>
      <w:pPr>
        <w:pStyle w:val="ListBullet"/>
      </w:pPr>
      <w:r>
        <w:t>Каждый fill передаётся отдельным immutable event с Bybit execId, orderId, фактическими price/qty и прямой связью с исходным rec_id.</w:t>
      </w:r>
    </w:p>
    <w:p>
      <w:pPr>
        <w:pStyle w:val="ListBullet"/>
      </w:pPr>
      <w: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t>Для диагностики исполнения фиксируется отдельный timestamped pre-submit/decision benchmark; orderPrice не заменяет этот benchmark.</w:t>
      </w:r>
    </w:p>
    <w:p>
      <w:pPr>
        <w:pStyle w:val="ListBullet"/>
      </w:pPr>
      <w:r>
        <w:t>Чтение execution evidence и live-validation требует ADMIN_API_KEY. Статистика остаётся descriptive-only, но persistent negative exact evidence теперь является fail-closed stop condition.</w:t>
      </w:r>
    </w:p>
    <w:p>
      <w:pPr>
        <w:pStyle w:val="ListBullet"/>
      </w:pPr>
      <w:r>
        <w:t>Внешний адаптер обязан преобразовать Bybit millisecond timestamps в точные UTC seconds, сохранить исходный payload и учесть все fee components/rebates.</w:t>
      </w:r>
    </w:p>
    <w:p>
      <w:pPr/>
      <w: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>
        <w:pStyle w:val="Heading1"/>
      </w:pPr>
      <w:r>
        <w:t>Stop-критерий по exact execution evidence</w:t>
      </w:r>
    </w:p>
    <w:p>
      <w:pPr>
        <w:pStyle w:val="ListBullet"/>
      </w:pPr>
      <w:r>
        <w:t>В gate входят только stopped bots с exact fills/funding той же explicit model_version; повторные publication roots считаются один раз. Текущая версия сигнала: bybit-taxonomy-v3-mean-reversion; legacy v2 evidence не смешивается с новой калибровкой.</w:t>
      </w:r>
    </w:p>
    <w:p>
      <w:pPr>
        <w:pStyle w:val="ListBullet"/>
      </w:pPr>
      <w: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t>Отрицательные total и median net PnL при positive rate &lt;50% блокируют direction после 8, symbol после 12 и portfolio после 20 независимых наблюдений.</w:t>
      </w:r>
    </w:p>
    <w:p>
      <w:pPr>
        <w:pStyle w:val="ListBullet"/>
      </w:pPr>
      <w: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t>Operator infographic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_to_tra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Updated with exact-evidence negative-expectancy stop gate.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