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pPr/>
      <w:r>
        <w:t>Версия документа: 1.0.37 (grid cost-layer separation; Bybit cross-margin safety contract).</w:t>
      </w:r>
    </w:p>
    <w:p>
      <w:r>
        <w:rPr>
          <w:sz w:val="21"/>
        </w:rP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  <w:sz w:val="21"/>
        </w:rPr>
        <w:t xml:space="preserve">Граница системы. </w:t>
      </w:r>
      <w:r>
        <w:rPr>
          <w:sz w:val="21"/>
        </w:rP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rPr>
          <w:sz w:val="21"/>
        </w:rPr>
        <w:t>Любой blocking/critical preflight означает NO TRADE.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rPr>
          <w:sz w:val="21"/>
        </w:rP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rPr>
          <w:sz w:val="21"/>
        </w:rPr>
        <w:t>MEAN_REVERSION_EVIDENCE_INSUFFICIENT означает hard blocked из-за недостатка обязательных данных. MEAN_REVERSION_EDGE_UNCONFIRMED означает strategy no_trade: evidence рассчитан, но торговый тезис не подтверждён. Оба статуса означают НЕ ЗАПУСКАТЬ; высокий legacy range score,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t>Отдельное касание directional tp_per_leg не подтверждает прибыль всего grid. Arithmetic tp_per_leg совпадает с полным соседним interval. Grid Profit завершённой пары уменьшается только на комиссии её двух resting fills. Bid/ask spread и slippage относятся к разовой market setup/terminal exit, а funding — к position-time Total P&amp;L; эти слои нельзя повторно вычитать из каждой пары. Одна и та же сетка может закрываться многократно, поэтому cumulative completed trades не ограничиваются grid_count.</w:t>
      </w:r>
    </w:p>
    <w:p>
      <w:pPr>
        <w:pStyle w:val="ListBullet"/>
      </w:pPr>
      <w:r>
        <w:rPr>
          <w:sz w:val="19"/>
        </w:rPr>
        <w:t>Outcome worker ведёт quantity-aware endpoint ledger уровней: cash, LONG/SHORT lots, цены inferred fills и целое количество resting orders на каждом уровне. Если ближайший TP исходной directional-позиции и replacement TP после соседнего buy/sell совпадают по цене, оба lots сохраняются и исполняются; один не заменяет другой. Наблюдаемые close→open и open→close движения учитываются отдельно; двусторонний intrabar order из OHLC не выдумывается.</w:t>
      </w:r>
    </w:p>
    <w:p>
      <w:pPr>
        <w:pStyle w:val="ListBullet"/>
      </w:pPr>
      <w:r>
        <w:t>Outcome entry — open первой точной 1m-свечи, начинающейся строго после publication timestamp. Arithmetic grid_count означает число интервалов: N интервалов создают N+1 ценовых уровней, но dynamic Futures Grid имеет ровно N начальных заявок и один idle pivot/bridge level. Для NEUTRAL/LONG между уровнями idle bridge — ближайший верхний уровень; для SHORT — ближайший нижний. NEUTRAL стартует без позиции, поэтому все первоначальные Buy и Sell заявки являются opening orders и входят в commitment. Bybit Futures Grid Bot моделируется как unified account, cross margin и one-way position mode. Safety gate использует cross-margin equity stress на обеих kill-switch границах: committed capital, adverse inventory loss, execution cost и maintenance reserve; funding receipts и hypothetical grid profit не кредитуются. Одиночная isolated liquidation price не публикуется. Текущий контракт — grid_label_v18; первый запуск v1.0.37 сбрасывает только старые proxy outcomes/calibrators.</w:t>
      </w:r>
    </w:p>
    <w:p>
      <w:pPr>
        <w:pStyle w:val="ListBullet"/>
      </w:pPr>
      <w:r>
        <w:t>Исторический funding в proxy outcomes берётся только из фактически рассчитанных Bybit settlements, собранных через публичный funding-history endpoint. Ticker fundingRate остаётся прогнозом для approval/risk и не подменяет исторический факт. Положительная ставка означает: LONG платит, SHORT получает; отрицательная ставка меняет знак. Полученный funding входит в исторический Total P&amp;L, но прогнозное получение не улучшает approval edge. Если в момент ожидаемого funding event позиция ненулевая, а settlement row отсутствует, label не создаётся fail-closed.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t>explicit leverage, cross margin, one-way position mode, sizing/economics for qtyStep, minNotional, active resting-order count, full initial opening-order committed slots/notional, maximum one-way position exposure and cross-margin equity-stress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rPr>
          <w:sz w:val="21"/>
        </w:rPr>
        <w:t>Hard blocked: MEAN_REVERSION_EVIDENCE_INSUFFICIENT, INVALID_MARKET_REFERENCE_PRICE и иные data/risk/Bybit/preflight failures. Strategy no_trade: MEAN_REVERSION_EDGE_UNCONFIRMED либо непрохождение launch-score/confidence/economics.</w:t>
      </w:r>
    </w:p>
    <w:p>
      <w:pPr>
        <w:pStyle w:val="ListBullet"/>
      </w:pPr>
      <w:r>
        <w:t>Устаревшая publication-chain, stale market data, live ticker вне range/kill-switch, отсутствующая пара bid/ask, spread &gt;14 bps, recurring grid edge &lt;2 bps или gross/fee coverage &lt;=1,10x. Spread остаётся отдельным liquidity gate, funding — отдельным inventory/schedule guard.</w:t>
      </w:r>
    </w:p>
    <w:p>
      <w:pPr>
        <w:pStyle w:val="ListBullet"/>
      </w:pPr>
      <w:r>
        <w:rPr>
          <w:sz w:val="21"/>
        </w:rPr>
        <w:t>Отсутствующие tickSize, qtyStep, minNotional, leverageFilter, non-Trading status.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Оценочный loss до adverse kill-switch превышает остаток дневного лимита max_daily_dd_usdt - daily_dd (DAILY_LOSS_BUDGET_EXCEEDED). Fallback notional обязан разделять commitment и exposure: для NEUTRAL commitment включает все первоначальные Buy/Sell opening orders, а maximum one-way position — только более крупный directional stack; для LONG/SHORT учитываются initial inventory плюс adverse-side openings. Total active-order count, committed slots и max-position slots нельзя взаимозаменять.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rPr>
          <w:sz w:val="21"/>
        </w:rPr>
        <w:t>1. Проверить status/effective_status: blocked означает жёсткий data/risk/Bybit/preflight отказ; no_trade означает неподтверждённый торговый тезис или launch/economics gate.</w:t>
      </w:r>
    </w:p>
    <w:p>
      <w:r>
        <w:t>2. Сверить current price, best bid/ask spread, live net edge, TTL, Bybit metadata, funding snapshot, cross-margin equity buffer и остаток дневного loss budget относительно kill-switch.</w:t>
      </w:r>
    </w:p>
    <w:p>
      <w:r>
        <w:rPr>
          <w:b/>
          <w:sz w:val="21"/>
        </w:rPr>
        <w:t xml:space="preserve">3. </w:t>
      </w:r>
      <w:r>
        <w:rPr>
          <w:sz w:val="21"/>
        </w:rPr>
        <w:t>Переносить в Bybit только полный trade_plan; не использовать пустой/legacy payload.</w:t>
      </w:r>
    </w:p>
    <w:p>
      <w:r>
        <w:rPr>
          <w:sz w:val="21"/>
        </w:rPr>
        <w:t>4. Не снижать severity guard-а вручную, не превращать no_trade в recommendation и не запускать при blocked/no_trade.</w:t>
      </w:r>
    </w:p>
    <w:p/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rPr>
          <w:sz w:val="21"/>
        </w:rP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fill и не основание для ручного исполнения.</w:t>
      </w:r>
    </w:p>
    <w:p>
      <w:pPr>
        <w:pStyle w:val="ListBullet"/>
      </w:pPr>
      <w:r>
        <w:rPr>
          <w:sz w:val="21"/>
        </w:rPr>
        <w:t>Необученный bot-specific calibrator сам по себе публикацию не блокирует: до fit используется ограниченный raw-confidence, а deterministic gates работают независимо.</w:t>
      </w:r>
    </w:p>
    <w:p>
      <w:pPr>
        <w:pStyle w:val="ListBullet"/>
      </w:pPr>
      <w:r>
        <w:rPr>
          <w:sz w:val="21"/>
        </w:rPr>
        <w:t>Отсутствие recommended/active является допустимым и безопасным результатом, особенно при отрицательной proxy-статистике или слабом range edge. Система не обязана постоянно выдавать сделки.</w:t>
      </w:r>
    </w:p>
    <w:p>
      <w:pPr>
        <w:pStyle w:val="Heading2"/>
      </w:pPr>
      <w:r>
        <w:rPr>
          <w:sz w:val="21"/>
        </w:rPr>
        <w:t>Нет запускных рекомендаций</w:t>
      </w:r>
    </w:p>
    <w:p>
      <w:pPr>
        <w:pStyle w:val="Heading1"/>
      </w:pPr>
      <w:r>
        <w:rPr>
          <w:sz w:val="21"/>
        </w:rPr>
        <w:t>Учёт фактического исполнения и PnL</w:t>
      </w:r>
    </w:p>
    <w:p>
      <w:pPr>
        <w:pStyle w:val="ListBullet"/>
      </w:pPr>
      <w:r>
        <w:rPr>
          <w:sz w:val="21"/>
        </w:rP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rPr>
          <w:sz w:val="21"/>
        </w:rP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rPr>
          <w:sz w:val="21"/>
        </w:rP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rPr>
          <w:sz w:val="21"/>
        </w:rP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rPr>
          <w:sz w:val="21"/>
        </w:rPr>
        <w:t>Stop-критерий по exact execution evidence</w:t>
      </w:r>
    </w:p>
    <w:p>
      <w:pPr>
        <w:pStyle w:val="ListBullet"/>
      </w:pPr>
      <w:r>
        <w:rPr>
          <w:sz w:val="21"/>
        </w:rPr>
        <w:t>В gate входят только stopped bots с exact fills/funding той же explicit model_version; повторные publication roots считаются один раз. Текущая версия сигнала: bybit-taxonomy-v3-mean-reversion; legacy v2 evidence не смешивается с новой калибровкой.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Отрицательные total и median net PnL при positive rate &lt;50% блокируют direction после 8, symbol после 12 и portfolio после 20 независимых наблюдений.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rPr>
          <w:sz w:val="21"/>
        </w:rPr>
        <w:t>Operator infographic</w:t>
      </w:r>
    </w:p>
    <w:p>
      <w:r>
        <w:rPr>
          <w:sz w:val="19"/>
        </w:rPr>
        <w:drawing>
          <wp:inline xmlns:a="http://schemas.openxmlformats.org/drawingml/2006/main" xmlns:pic="http://schemas.openxmlformats.org/drawingml/2006/picture">
            <wp:extent cx="5852160" cy="487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