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Инструкция оператора Bybit Recommender</w:t>
      </w:r>
    </w:p>
    <w:p>
      <w:pPr/>
      <w:r>
        <w:t>Версия документа: 1.0.29 (grid ledger topology and protective-stop finalization).</w:t>
      </w:r>
    </w:p>
    <w:p>
      <w:r>
        <w:rPr>
          <w:sz w:val="21"/>
        </w:rPr>
        <w:t>Назначение: быстрый регламент проверки рекомендации перед ручным переносом параметров в Bybit Futures Grid Bot.</w:t>
      </w:r>
    </w:p>
    <w:p>
      <w:r>
        <w:rPr>
          <w:b/>
          <w:sz w:val="21"/>
        </w:rPr>
        <w:t xml:space="preserve">Граница системы. </w:t>
      </w:r>
      <w:r>
        <w:rPr>
          <w:sz w:val="21"/>
        </w:rPr>
        <w:t>Репозиторий является recommendation/audit service, not OMS/EMS. Он не управляет live order lifecycle, open orders, fills, partial fills или reconciliation. Перед реальным запуском внешний execution-layer обязан повторно проверить Bybit account state, баланс, маржу, открытые ордера и фактические лимиты инструмента.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rPr>
          <w:sz w:val="21"/>
        </w:rPr>
        <w:t>Любой blocking/critical preflight означает NO TRADE.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rPr>
          <w:sz w:val="21"/>
        </w:rPr>
        <w:t>Raw confidence — эвристическое качество запуска, а не вероятность прибыли. Даже calibrated confidence относится к proxy outcomes и не подтверждает live edge без walk-forward/shadow статистики по фактическим fills и costs. Поле expected_rr в UI отображается как «Прокси capture/risk»: это не фактическое отношение прибыли к убытку.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rPr>
          <w:sz w:val="21"/>
        </w:rPr>
        <w:t>MEAN_REVERSION_EVIDENCE_INSUFFICIENT означает hard blocked из-за недостатка обязательных данных. MEAN_REVERSION_EDGE_UNCONFIRMED означает strategy no_trade: evidence рассчитан, но торговый тезис не подтверждён. Оба статуса означают НЕ ЗАПУСКАТЬ; высокий legacy range score,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rPr>
          <w:sz w:val="21"/>
        </w:rPr>
        <w:t>Отдельное касание directional tp_per_leg не подтверждает прибыль всего grid. Arithmetic tp_per_leg должен совпадать с полным соседним grid interval; коэффициент fill_efficiency не уменьшает PnL уже завершённой пары. Одна и та же сетка может закрываться повторно, поэтому cumulative completed trades не ограничиваются grid_count.</w:t>
      </w:r>
    </w:p>
    <w:p>
      <w:pPr>
        <w:pStyle w:val="ListBullet"/>
      </w:pPr>
      <w:r>
        <w:t>Outcome worker ведёт равноколичественный endpoint-aware ledger уровней: cash, LONG/SHORT lots, replacement orders и цены inferred fills. Для входа между уровнями LONG получает ближайший верхний TP и соответствующий initial long slot; SHORT симметрично получает ближайший нижний buy-to-close и initial short slot.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entry — open первой точной 1m-свечи, начинающейся строго после publication timestamp. Kill-switch обязан строго охватывать grid range и является terminal event: после первого breach residual inventory закрывается на защитной границе, последующие grid fills и funding не учитываются. Missing/inside-range protection, одновременное касание обеих outer boundaries, конфликтующие grid_count/range/funding aliases или malformed explicit contract делают proxy label unavailable. Half round-trip cost начисляется на каждую leg и terminal close; adverse funding применяется только к фактическому inventory. Текущий контракт — grid_label_v10; первый запуск v1.0.29 сбрасывает только старые proxy outcomes/calibrators.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rPr>
          <w:sz w:val="21"/>
        </w:rPr>
        <w:t>explicit leverage, isolated margin mode, sizing/economics for qtyStep, minNotional and margin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rPr>
          <w:sz w:val="21"/>
        </w:rPr>
        <w:t>Hard blocked: MEAN_REVERSION_EVIDENCE_INSUFFICIENT, INVALID_MARKET_REFERENCE_PRICE и иные data/risk/Bybit/preflight failures. Strategy no_trade: MEAN_REVERSION_EDGE_UNCONFIRMED либо непрохождение launch-score/confidence/economics.</w:t>
      </w:r>
    </w:p>
    <w:p>
      <w:pPr>
        <w:pStyle w:val="ListBullet"/>
      </w:pPr>
      <w:r>
        <w:rPr>
          <w:sz w:val="21"/>
        </w:rPr>
        <w:t>Устаревшая publication-chain, stale market data, live ticker вне range/kill-switch, отсутствующая пара bid/ask, spread &gt;14 bps, live net edge &lt;2 bps или gross/cost coverage &lt;=1,10x.</w:t>
      </w:r>
    </w:p>
    <w:p>
      <w:pPr>
        <w:pStyle w:val="ListBullet"/>
      </w:pPr>
      <w:r>
        <w:rPr>
          <w:sz w:val="21"/>
        </w:rPr>
        <w:t>Отсутствующие tickSize, qtyStep, minNotional, leverageFilter, non-Trading status.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rPr>
          <w:sz w:val="21"/>
        </w:rPr>
        <w:t>Оценочный loss до adverse kill-switch превышает остаток дневного лимита max_daily_dd_usdt - daily_dd (DAILY_LOSS_BUDGET_EXCEEDED).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rPr>
          <w:sz w:val="21"/>
        </w:rPr>
        <w:t>1. Проверить status/effective_status: blocked означает жёсткий data/risk/Bybit/preflight отказ; no_trade означает неподтверждённый торговый тезис или launch/economics gate.</w:t>
      </w:r>
    </w:p>
    <w:p>
      <w:r>
        <w:rPr>
          <w:sz w:val="21"/>
        </w:rPr>
        <w:t>2. Сверить current price, best bid/ask spread, live net edge, TTL, Bybit metadata, funding snapshot, liquidation buffer и остаток дневного loss budget относительно kill-switch.</w:t>
      </w:r>
    </w:p>
    <w:p>
      <w:r>
        <w:rPr>
          <w:b/>
          <w:sz w:val="21"/>
        </w:rPr>
        <w:t xml:space="preserve">3. </w:t>
      </w:r>
      <w:r>
        <w:rPr>
          <w:sz w:val="21"/>
        </w:rPr>
        <w:t>Переносить в Bybit только полный trade_plan; не использовать пустой/legacy payload.</w:t>
      </w:r>
    </w:p>
    <w:p>
      <w:r>
        <w:rPr>
          <w:sz w:val="21"/>
        </w:rPr>
        <w:t>4. Не снижать severity guard-а вручную, не превращать no_trade в recommendation и не запускать при blocked/no_trade.</w:t>
      </w:r>
    </w:p>
    <w:p>
      <w:r>
        <w:rPr>
          <w:sz w:val="21"/>
        </w:rPr>
        <w:br w:type="page"/>
      </w:r>
    </w:p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rPr>
          <w:sz w:val="21"/>
        </w:rP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fill и не основание для ручного исполнения.</w:t>
      </w:r>
    </w:p>
    <w:p>
      <w:pPr>
        <w:pStyle w:val="ListBullet"/>
      </w:pPr>
      <w:r>
        <w:rPr>
          <w:sz w:val="21"/>
        </w:rPr>
        <w:t>Необученный bot-specific calibrator сам по себе публикацию не блокирует: до fit используется ограниченный raw-confidence, а deterministic gates работают независимо.</w:t>
      </w:r>
    </w:p>
    <w:p>
      <w:pPr>
        <w:pStyle w:val="ListBullet"/>
      </w:pPr>
      <w:r>
        <w:rPr>
          <w:sz w:val="21"/>
        </w:rPr>
        <w:t>Отсутствие recommended/active является допустимым и безопасным результатом, особенно при отрицательной proxy-статистике или слабом range edge. Система не обязана постоянно выдавать сделки.</w:t>
      </w:r>
    </w:p>
    <w:p>
      <w:pPr>
        <w:pStyle w:val="Heading2"/>
      </w:pPr>
      <w:r>
        <w:rPr>
          <w:sz w:val="21"/>
        </w:rPr>
        <w:t>Нет запускных рекомендаций</w:t>
      </w:r>
    </w:p>
    <w:p>
      <w:pPr>
        <w:pStyle w:val="Heading1"/>
      </w:pPr>
      <w:r>
        <w:rPr>
          <w:sz w:val="21"/>
        </w:rPr>
        <w:t>Учёт фактического исполнения и PnL</w:t>
      </w:r>
    </w:p>
    <w:p>
      <w:pPr>
        <w:pStyle w:val="ListBullet"/>
      </w:pPr>
      <w:r>
        <w:rPr>
          <w:sz w:val="21"/>
        </w:rPr>
        <w:t>Каждый fill передаётся отдельным immutable event с Bybit execId, orderId, фактическими price/qty и прямой связью с исходным rec_id.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rPr>
          <w:sz w:val="21"/>
        </w:rPr>
        <w:t>Для диагностики исполнения фиксируется отдельный timestamped pre-submit/decision benchmark; orderPrice не заменяет этот benchmark.</w:t>
      </w:r>
    </w:p>
    <w:p>
      <w:pPr>
        <w:pStyle w:val="ListBullet"/>
      </w:pPr>
      <w:r>
        <w:rPr>
          <w:sz w:val="21"/>
        </w:rPr>
        <w:t>Чтение execution evidence и live-validation требует ADMIN_API_KEY. Статистика остаётся descriptive-only, но persistent negative exact evidence теперь является fail-closed stop condition.</w:t>
      </w:r>
    </w:p>
    <w:p>
      <w:pPr>
        <w:pStyle w:val="ListBullet"/>
      </w:pPr>
      <w:r>
        <w:rPr>
          <w:sz w:val="21"/>
        </w:rPr>
        <w:t>Внешний адаптер обязан преобразовать Bybit millisecond timestamps в точные UTC seconds, сохранить исходный payload и учесть все fee components/rebates.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rPr>
          <w:sz w:val="21"/>
        </w:rPr>
        <w:t>Stop-критерий по exact execution evidence</w:t>
      </w:r>
    </w:p>
    <w:p>
      <w:pPr>
        <w:pStyle w:val="ListBullet"/>
      </w:pPr>
      <w:r>
        <w:rPr>
          <w:sz w:val="21"/>
        </w:rPr>
        <w:t>В gate входят только stopped bots с exact fills/funding той же explicit model_version; повторные publication roots считаются один раз. Текущая версия сигнала: bybit-taxonomy-v3-mean-reversion; legacy v2 evidence не смешивается с новой калибровкой.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Отрицательные total и median net PnL при positive rate &lt;50% блокируют direction после 8, symbol после 12 и portfolio после 20 независимых наблюдений.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rPr>
          <w:sz w:val="21"/>
        </w:rPr>
        <w:t>Operator infographic</w:t>
      </w:r>
    </w:p>
    <w:p>
      <w:r>
        <w:drawing>
          <wp:inline xmlns:a="http://schemas.openxmlformats.org/drawingml/2006/main" xmlns:pic="http://schemas.openxmlformats.org/drawingml/2006/picture">
            <wp:extent cx="5852160" cy="4876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w_to_tra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8768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Updated with exact-evidence negative-expectancy stop gate.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