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rPr>
          <w:sz w:val="21"/>
        </w:rPr>
        <w:t>Версия документа: 1.0.26 (inventory-aware funding and liquidation-equivalent outcome finalization).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rPr>
          <w:sz w:val="21"/>
        </w:rPr>
        <w:t>Отдельное касание directional tp_per_leg не подтверждает прибыль всего grid. Arithmetic tp_per_leg должен совпадать с полным соседним grid interval; коэффициент fill_efficiency не уменьшает PnL уже завершённой пары. Одна и та же сетка может закрываться повторно, поэтому cumulative completed trades не ограничиваются grid_count.</w:t>
      </w:r>
    </w:p>
    <w:p>
      <w:pPr>
        <w:pStyle w:val="ListBullet"/>
      </w:pPr>
      <w:r>
        <w:rPr>
          <w:sz w:val="21"/>
        </w:rPr>
        <w:t>Outcome worker ведёт равноколичественный close-to-close ledger уровней: cash, LONG/SHORT lots, replacement orders и цены inferred fills. Half round-trip cost начисляется на каждую исполненную leg и на terminal close остаточного inventory; gross завершённой arithmetic-grid пары равен полному interval.</w:t>
      </w:r>
    </w:p>
    <w:p>
      <w:pPr>
        <w:pStyle w:val="ListBullet"/>
      </w:pPr>
      <w:r>
        <w:rPr>
          <w:sz w:val="21"/>
        </w:rPr>
        <w:t>Adverse funding применяется только к фактическому net inventory на event time; neutral без позиции не платит, а возможное получение funding не повышает proxy-result. Success требует mode activity, положительного net total PnL и intact kill-switch без скрытого 5 bps cutoff. Текущая label-версия grid_label_v7 сбрасывает только старые reco_outcomes/calibrators; exact fills, queue priority и live PnL остаются внешней truth.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rPr>
          <w:sz w:val="21"/>
        </w:rPr>
        <w:t>explicit leverage, isolated margin mode, sizing/economics for qtyStep, minNotional and margin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rPr>
          <w:sz w:val="21"/>
        </w:rP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rPr>
          <w:sz w:val="21"/>
        </w:rPr>
        <w:t>Оценочный loss до adverse kill-switch превышает остаток дневного лимита max_daily_dd_usdt - daily_dd (DAILY_LOSS_BUDGET_EXCEEDED).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rPr>
          <w:sz w:val="21"/>
        </w:rPr>
        <w:t>2. Сверить current price, best bid/ask spread, live net edge, TTL, Bybit metadata, funding snapshot, liquidation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>
      <w:r>
        <w:rPr>
          <w:sz w:val="21"/>
        </w:rPr>
        <w:br w:type="page"/>
      </w:r>
    </w:p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21"/>
        </w:rP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