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1.0.40 (monetary-expectancy calibration gate; tail-loss exact-evidence stop gate; Bybit cross-margin safety contract).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После минимальной matured-return выборки bot-specific calibration допускается только при положительном recency-weighted mean proxy return. Если mean return &lt;= 0, модель не обучается, сохраняется expectancy_status=negative, а рекомендация получает NO_TRADE с кодом PROXY_MONETARY_EXPECTANCY_NON_POSITIVE. Lower-tail expected shortfall показывается как диагностика. Обходить этот статус из-за confidence, median или win rate запрещено.</w:t>
      </w:r>
    </w:p>
    <w:p>
      <w:pPr/>
      <w:r>
        <w:t>Это защитный OHLCV proxy gate, а не доказательство live edge. После реальных запусков authoritative evidence — exact fills, fees, funding и realized net PnL внешнего execution/reconciliation layer.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NEUTRAL стартует без позиции, поэтому все первоначальные Buy и Sell заявки являются opening orders и входят в commitment. Bybit Futures Grid Bot моделируется как unified account, cross margin и one-way position mode. Safety gate использует cross-margin equity stress на обеих kill-switch границах: committed capital, adverse inventory loss, execution cost и maintenance reserve; funding receipts и hypothetical grid profit не кредитуются. Одиночная isolated liquidation price не публикуется. Текущий контракт — grid_label_v18; первый запуск v1.0.37 сбрасывает только старые proxy outcomes/calibrators.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Полученный funding входит в исторический Total P&amp;L, но прогнозное получение не улучшает approval edge.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t>2. Сверить current price, best bid/ask spread, live net edge, TTL, Bybit metadata, funding snapshot, cross-margin equity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t>Необученный calibrator из-за недостаточной выборки сам по себе публикацию не блокирует: до fit используется ограниченный raw-confidence. Но подтверждённый expectancy_status=negative является отдельным NO_TRADE и не может быть проигнорирован.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