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53A52"/>
          <w:sz w:val="56"/>
        </w:rPr>
        <w:t>COST-AWARE HOURLY</w:t>
        <w:br/>
        <w:t>ML MOMENTUM</w:t>
      </w:r>
      <w:r>
        <w:rPr>
          <w:rFonts w:ascii="Arial" w:hAnsi="Arial"/>
          <w:color w:val="1F6D8C"/>
          <w:sz w:val="32"/>
        </w:rPr>
        <w:br/>
        <w:t>для фьючерсов Bybit с ручным исполнением оператором</w:t>
      </w:r>
    </w:p>
    <w:p>
      <w:pPr>
        <w:spacing w:before="500"/>
        <w:jc w:val="center"/>
      </w:pPr>
      <w:r>
        <w:rPr>
          <w:b/>
          <w:color w:val="3C505A"/>
          <w:sz w:val="26"/>
        </w:rPr>
        <w:t>Техническая концепция, математическая и эконометрическая проверка</w:t>
      </w:r>
    </w:p>
    <w:p>
      <w:pPr>
        <w:spacing w:before="2200"/>
        <w:jc w:val="center"/>
      </w:pPr>
      <w:r>
        <w:t>Стек: Python + FastAPI/Uvicorn + PostgreSQL + HTML/CSS + Vanilla JavaScript</w:t>
        <w:br/>
        <w:t>Режим: рекомендательная система, без автоматической отправки ордеров</w:t>
        <w:br/>
        <w:t>Актуальность технической проверки: 25 июня 2026 г.</w:t>
      </w:r>
    </w:p>
    <w:p>
      <w:pPr>
        <w:spacing w:before="600"/>
        <w:jc w:val="center"/>
      </w:pPr>
      <w:r>
        <w:t>Версия 1.3 — FastAPI и обязательный PostgreSQL; компактная плитка, доступные подсказки и профили капитала</w:t>
      </w:r>
    </w:p>
    <w:p>
      <w:r>
        <w:br w:type="page"/>
      </w:r>
    </w:p>
    <w:p>
      <w:pPr>
        <w:pStyle w:val="Heading1"/>
        <w:keepNext/>
      </w:pPr>
      <w:r>
        <w:t>Резюме и итоговый вывод</w:t>
      </w:r>
    </w:p>
    <w:p>
      <w:r>
        <w:rPr>
          <w:b/>
        </w:rPr>
        <w:t xml:space="preserve">Проект технически реализуем и может быть доведен до законченного локального продукта. </w:t>
      </w:r>
      <w:r>
        <w:t>При этом реализуемость программного комплекса не означает заранее доказанную прибыльность стратегии. Экономическое преимущество должно быть подтверждено только на последовательных out-of-sample данных, после комиссий, проскальзывания, funding, задержки оператора и портфельных ограничений.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5043"/>
            <w:shd w:fill="1F6D8C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/>
          </w:p>
        </w:tc>
        <w:tc>
          <w:tcPr>
            <w:tcW w:type="dxa" w:w="5043"/>
            <w:shd w:fill="EAF3F8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Главный принцип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ML-модель не должна непосредственно отдавать команду «торговать». Она прогнозирует распределение исходов и/или условную доходность. Отдельный решающий слой превращает прогноз в LONG, SHORT или NO TRADE с учетом издержек, риска, ликвидности, срока жизни сигнала и уже открытых позиций.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Оптимальный начальный продукт: USDT-settled linear perpetuals на BTC, ETH и ликвидные альткоины; базовое плечо 3×, допустимое 5× только после всех риск-проверок.</w:t>
      </w:r>
    </w:p>
    <w:p>
      <w:pPr>
        <w:pStyle w:val="ListBullet"/>
        <w:spacing w:after="40"/>
      </w:pPr>
      <w:r>
        <w:t>Период решения: после подтвержденного закрытия часовой свечи; предполагаемый горизонт сделки — несколько часов, а не обязательно ровно один час.</w:t>
      </w:r>
    </w:p>
    <w:p>
      <w:pPr>
        <w:pStyle w:val="ListBullet"/>
        <w:spacing w:after="40"/>
      </w:pPr>
      <w:r>
        <w:t>Исполнение: оператор вручную принимает или отклоняет рекомендацию и вносит фактические параметры сделки.</w:t>
      </w:r>
    </w:p>
    <w:p>
      <w:pPr>
        <w:pStyle w:val="ListBullet"/>
        <w:spacing w:after="40"/>
      </w:pPr>
      <w:r>
        <w:t>Интерфейс: плитки монет с цветом направления, но с обязательной текстовой меткой LONG/SHORT/NO TRADE, чтобы смысл не зависел только от цвета.</w:t>
      </w:r>
    </w:p>
    <w:p>
      <w:pPr>
        <w:pStyle w:val="ListBullet"/>
        <w:spacing w:after="40"/>
      </w:pPr>
      <w:r>
        <w:t>Ключевые показатели на плитке: направление, исполнимость, зона входа, SL/основной TP, чистый R/R, чистый EV, риск в USDT, notional и одно критическое предупреждение. Маржа, плечо, издержки, вероятность, объяснение модели и аудит открываются в подробном диалоге.</w:t>
      </w:r>
    </w:p>
    <w:p>
      <w:pPr>
        <w:pStyle w:val="Heading2"/>
        <w:keepNext/>
      </w:pPr>
      <w:r>
        <w:t>Что было исправлено по сравнению с первоначальной концепцией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Положение</w:t>
            </w:r>
          </w:p>
        </w:tc>
        <w:tc>
          <w:tcPr>
            <w:tcW w:type="dxa" w:w="6803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Проверенный 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NO TRADE как класс модели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Нежелательно считать NO TRADE самостоятельным «состоянием рынка». Это решение политики. Модель прогнозирует исходы; NO TRADE возникает после сравнения ожидаемой выгоды с издержками и риском.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R/R и плечо</w:t>
            </w:r>
          </w:p>
        </w:tc>
        <w:tc>
          <w:tcPr>
            <w:tcW w:type="dxa" w:w="680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R/R считается по P&amp;L на notional и не становится лучше от увеличения плеча. Плечо меняет требуемую маржу, доходность на маржу и расстояние до ликвидации, но не создает торговое преимущество.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Funding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Funding учитывается только если позиция удерживается в момент funding settlement. Интервал различается по символам и может меняться; фиксированное предположение «каждые 8 часов» некорректно.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Triple-barrier</w:t>
            </w:r>
          </w:p>
        </w:tc>
        <w:tc>
          <w:tcPr>
            <w:tcW w:type="dxa" w:w="680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Метод пригоден, но часовые OHLC не определяют порядок касания TP и SL внутри свечи. Требуются 1–5-минутные данные либо консервативное разрешение неоднозначности.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Confidence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На плитке следует показывать не абстрактную «уверенность», а калиброванную вероятность конкретного события с указанием модели, горизонта и даты калибровки.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Издержки</w:t>
            </w:r>
          </w:p>
        </w:tc>
        <w:tc>
          <w:tcPr>
            <w:tcW w:type="dxa" w:w="680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Нельзя одновременно прибавлять полный bid-ask spread и slippage, если расчет fill уже основан на исполнимых bid/ask уровнях: это двойной учет.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Позиционный размер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Формула должна учитывать не только расстояние до SL, но комиссии, ожидаемое проскальзывание и резерв на gap/stop slippage.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Валидация</w:t>
            </w:r>
          </w:p>
        </w:tc>
        <w:tc>
          <w:tcPr>
            <w:tcW w:type="dxa" w:w="680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Обычный random split и стандартный K-fold непригодны. Нужны хронологические окна, purging перекрывающихся меток, embargo и отдельный финальный holdout.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Исторический стакан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Текущий orderbook API дает snapshot, а не готовую многолетнюю историю стакана. Для точной модели market impact необходимо накапливать собственный архив.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Единая модель</w:t>
            </w:r>
          </w:p>
        </w:tc>
        <w:tc>
          <w:tcPr>
            <w:tcW w:type="dxa" w:w="680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Pooled-модель является разумным baseline, но не автоматически лучшим вариантом. Ее нужно сравнить с моделями по ликвидностным группам и с отдельными моделями для BTC/ETH.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Backend и база данных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FastAPI/Uvicorn используются как основной API-слой. PostgreSQL является единственной СУБД во всех режимах, включая development, backtest, paper, shadow, tests и production. SQLite и автоматический fallback на файловую БД исключены.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Информационная плотность плитки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Плитка должна поддерживать быстрый первичный отбор, а не заменять аналитический отчет. На ней остаются направление, исполнимость, entry-zone, SL/основной TP, net R/R, net EV, денежный риск, размер позиции и одно критическое предупреждение; доказательная и техническая информация переносится в диалог.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Разные капиталы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Рыночный сигнал отделяется от execution plan. Смена профиля капитала не меняет направление, entry, TP/SL и качество сигнала, но пересчитывает риск в USDT, notional, qty, margin и статус исполнимости после min-order, liquidity, portfolio и margin checks.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Подсказки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Неочевидные термины получают единый versioned glossary и доступны по hover, keyboard focus и tap. Критические предупреждения никогда не прячутся только во всплывающей подсказке.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Содержание</w:t>
      </w:r>
    </w:p>
    <w:p>
      <w:pPr>
        <w:spacing w:after="40"/>
        <w:ind w:left="227"/>
      </w:pPr>
      <w:r>
        <w:t>1. Границы и предпосылки проекта</w:t>
      </w:r>
    </w:p>
    <w:p>
      <w:pPr>
        <w:spacing w:after="40"/>
        <w:ind w:left="227"/>
      </w:pPr>
      <w:r>
        <w:t>2. Экран оператора и плиточная логика</w:t>
      </w:r>
    </w:p>
    <w:p>
      <w:pPr>
        <w:spacing w:after="40"/>
        <w:ind w:left="227"/>
      </w:pPr>
      <w:r>
        <w:t>3. Данные Bybit и динамический universe</w:t>
      </w:r>
    </w:p>
    <w:p>
      <w:pPr>
        <w:spacing w:after="40"/>
        <w:ind w:left="227"/>
      </w:pPr>
      <w:r>
        <w:t>4. Постановка ML-задачи</w:t>
      </w:r>
    </w:p>
    <w:p>
      <w:pPr>
        <w:spacing w:after="40"/>
        <w:ind w:left="227"/>
      </w:pPr>
      <w:r>
        <w:t>5. Признаки и защита от утечки</w:t>
      </w:r>
    </w:p>
    <w:p>
      <w:pPr>
        <w:spacing w:after="40"/>
        <w:ind w:left="227"/>
      </w:pPr>
      <w:r>
        <w:t>6. Модели и калибровка</w:t>
      </w:r>
    </w:p>
    <w:p>
      <w:pPr>
        <w:spacing w:after="40"/>
        <w:ind w:left="227"/>
      </w:pPr>
      <w:r>
        <w:t>7. Математика издержек, R/R и EV</w:t>
      </w:r>
    </w:p>
    <w:p>
      <w:pPr>
        <w:spacing w:after="40"/>
        <w:ind w:left="227"/>
      </w:pPr>
      <w:r>
        <w:t>8. Капитал, размер позиции, плечо и ликвидационный риск</w:t>
      </w:r>
    </w:p>
    <w:p>
      <w:pPr>
        <w:spacing w:after="40"/>
        <w:ind w:left="227"/>
      </w:pPr>
      <w:r>
        <w:t>9. Портфельный риск</w:t>
      </w:r>
    </w:p>
    <w:p>
      <w:pPr>
        <w:spacing w:after="40"/>
        <w:ind w:left="227"/>
      </w:pPr>
      <w:r>
        <w:t>10. Backtest и эконометрическая проверка</w:t>
      </w:r>
    </w:p>
    <w:p>
      <w:pPr>
        <w:spacing w:after="40"/>
        <w:ind w:left="227"/>
      </w:pPr>
      <w:r>
        <w:t>11. Архитектура FastAPI/PostgreSQL/HTML/CSS/JS</w:t>
      </w:r>
    </w:p>
    <w:p>
      <w:pPr>
        <w:spacing w:after="40"/>
        <w:ind w:left="227"/>
      </w:pPr>
      <w:r>
        <w:t>12. Жизненный цикл рекомендации</w:t>
      </w:r>
    </w:p>
    <w:p>
      <w:pPr>
        <w:spacing w:after="40"/>
        <w:ind w:left="227"/>
      </w:pPr>
      <w:r>
        <w:t>13. План разработки и критерии готовности</w:t>
      </w:r>
    </w:p>
    <w:p>
      <w:pPr>
        <w:spacing w:after="40"/>
        <w:ind w:left="227"/>
      </w:pPr>
      <w:r>
        <w:t>14. Риски и ограничения</w:t>
      </w:r>
    </w:p>
    <w:p>
      <w:pPr>
        <w:spacing w:after="40"/>
        <w:ind w:left="227"/>
      </w:pPr>
      <w:r>
        <w:t>15. Итоговая спецификация</w:t>
      </w:r>
    </w:p>
    <w:p>
      <w:pPr>
        <w:spacing w:after="40"/>
        <w:ind w:left="227"/>
      </w:pPr>
      <w:r>
        <w:t>Приложения и источники</w:t>
      </w:r>
    </w:p>
    <w:p>
      <w:pPr>
        <w:pStyle w:val="Heading1"/>
        <w:keepNext/>
        <w:pageBreakBefore/>
      </w:pPr>
      <w:r>
        <w:t>1. Границы и предпосылки проекта</w:t>
      </w:r>
    </w:p>
    <w:p>
      <w:pPr>
        <w:pStyle w:val="Heading2"/>
        <w:keepNext/>
      </w:pPr>
      <w:r>
        <w:t>1.1. Что именно торгуется</w:t>
      </w:r>
    </w:p>
    <w:p>
      <w:r>
        <w:t>Рекомендуемый базовый рынок — линейные бессрочные контракты, рассчитываемые в USDT. Это позволяет торговать фьючерсами на BTC, ETH, SOL, XRP, DOGE и другие альткоины, не превращая сами stablecoins в объект momentum-торговли. Иными словами, stablecoin используется как расчетная валюта и обеспечение, а базовым активом остается криптовалюта.</w:t>
      </w:r>
      <w:r>
        <w:rPr>
          <w:i/>
        </w:rPr>
        <w:t xml:space="preserve"> Термин «не только Stable Coin» поэтому правильнее трактовать как «не только BTC/ETH и не только контракты на наиболее стабильные активы, а широкий набор альткоинов при расчетах в USDT».</w:t>
      </w:r>
    </w:p>
    <w:p>
      <w:pPr>
        <w:pStyle w:val="Heading2"/>
        <w:keepNext/>
      </w:pPr>
      <w:r>
        <w:t>1.2. Зафиксированные предпосылки первой версии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917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Базовое 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Частота решения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Раз в час после закрытия свечи; повторное обновление внутри часа только для цены, статуса входа и отмены сигнала.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Горизонт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Например 4, 6, 8 и 12 часов; конкретный горизонт определяется out-of-sample сравнением, а не выбирается по лучшему backtest.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Исполнение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Оператор вручную совершает сделку на Bybit. Система не обладает торговым API-ключом с правом размещения ордеров.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Маржинальный режим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Для первой версии предпочтителен isolated margin, чтобы риск позиции был отделен от остального счета.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Плечо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3× по умолчанию. 4×–5× допускаются только если соблюдены лимит позиции, buffer до liquidation, margin availability и ликвидность.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Universe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Динамический список активных linear perpetuals с фильтрами возраста, оборота, спреда, глубины, полноты истории и статуса.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Локальность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Backend слушает 127.0.0.1; UI открывается в браузере. Доступ из LAN/Internet требует отдельного защищенного reverse proxy и аутентификации.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FastAPI + Uvicorn; Pydantic-схемы, versioned REST API, OpenAPI, lifespan для инициализации ресурсов.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База данных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PostgreSQL обязателен во всех режимах. Разные среды используют отдельные базы данных или полностью изолированные кластеры; SQLite не применяется даже в unit/integration tests.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5043"/>
            <w:shd w:fill="1F6D8C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/>
          </w:p>
        </w:tc>
        <w:tc>
          <w:tcPr>
            <w:tcW w:type="dxa" w:w="5043"/>
            <w:shd w:fill="EAF3F8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Проверка реалистичности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Часовой цикл не требует высокочастотной инфраструктуры. REST достаточно для истории и справочников, но WebSocket полезен для подтверждения закрытия свечи, контроля свежести и внутричасового мониторинга. Bybit помечает закрытую свечу полем confirm=true [4].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Экран оператора и плиточная логика</w:t>
      </w:r>
    </w:p>
    <w:p>
      <w:pPr>
        <w:pStyle w:val="Heading2"/>
        <w:keepNext/>
      </w:pPr>
      <w:r>
        <w:rPr>
          <w:b w:val="0"/>
          <w:i w:val="0"/>
        </w:rPr>
        <w:t>2.1. Назначение главного экрана</w:t>
      </w:r>
    </w:p>
    <w:p>
      <w:pPr/>
      <w:r>
        <w:rPr>
          <w:b w:val="0"/>
          <w:i w:val="0"/>
        </w:rPr>
        <w:t>Главный экран должен помогать оператору быстро сравнить несколько кандидатов и выбрать, какие из них требуют подробной проверки. Плитка не должна быть миниатюрным отчетом: перегрузка одинаково опасна и для начинающего оператора, и для опытного пользователя, поскольку затрудняет сравнение и повышает риск ошибочного нажатия.</w:t>
      </w:r>
    </w:p>
    <w:p>
      <w:pPr/>
      <w:r>
        <w:rPr>
          <w:b w:val="0"/>
          <w:i w:val="0"/>
        </w:rPr>
        <w:t>В верхней панели постоянно отображается активный профиль капитала, источник его значения и время последней проверки. Плитки пересчитывают только размер и исполнимость для выбранного профиля; рыночная часть сигнала остается неизменной.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Секция экрана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Активные рекомендации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Полноразмерные LONG/SHORT-плитки, прошедшие рыночные и риск-фильтры для выбранного профиля капитала.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Наблюдение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Компактные WATCH-плитки: сигнал близок к порогу, цена еще вне entry-zone или ожидается обязательное условие.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Без сделки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Свернутый список NO TRADE. Серые элементы не должны вытеснять активные рекомендации.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Заблокированные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Сигнал может быть рыночно валидным, но неисполняемым из-за капитала, min order, маржи, ликвидности, портфельного лимита или stale data.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2.2. Минимальный состав плитки</w:t>
      </w:r>
    </w:p>
    <w:p>
      <w:pPr/>
      <w:r>
        <w:rPr>
          <w:b w:val="0"/>
          <w:i w:val="0"/>
        </w:rPr>
        <w:t>На плитке остаются только сведения, необходимые для первичного решения. Русские подписи имеют приоритет; сокращения и англицизмы используются лишь там, где они являются отраслевым стандартом, и сопровождаются подсказками.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Показывать на плитке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Обоснование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Инструмент и направление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Символ, LONG/SHORT/NO TRADE; направление кодируется цветом и текстом.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Исполнимость и срок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В зоне входа, ожидание входа, упущен вход, заблокировано, осталось времени.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Текущая цена и entry-zone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Позволяет понять, допустим ли вход сейчас.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SL и основной TP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Критические уровни. При частичном выходе R/R рассчитывается по фактическому weighted plan.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Net R/R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Показывается как «Чистый доход/риск»; gross R/R на плитке не нужен.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Net EV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Показывается как «Ожидаемый результат» в R; используется для ранжирования, но не является гарантией.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Риск в USDT и notional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Динамические значения для активного профиля капитала.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Одно критическое предупреждение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Остальные предупреждения открываются в диалоге.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P(TP раньше SL)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Опционально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Не выводить как абстрактную «уверенность». Подробное значение доступно в диалоге.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Gross R/R, fee/slippage/funding decomposition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Нет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Уже учтены в net-метриках; нужны для проверки расчета, а не для первичного отбора.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Margin, liquidation buffer, model version, OI/ATR badges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Нет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Вторичный уровень или технический аудит.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Принять/Отклонить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Нет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Действия разрешаются только после открытия подробного диалога.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Правило отображения</w:t>
              <w:br/>
            </w:r>
            <w:r>
              <w:rPr>
                <w:sz w:val="18"/>
              </w:rPr>
              <w:t>Цвет плитки сообщает направление рыночной рекомендации. Отдельный статус и пиктограмма сообщают, можно ли исполнить ее с выбранным капиталом. Зеленая LONG-плитка может иметь блокирующий статус «Недостаточный безопасный размер»; превращать ее в NO TRADE нельзя, поскольку это смешивает качество сигнала и ограничения счета.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2.3. Рекомендуемый макет плитки</w:t>
      </w:r>
    </w:p>
    <w:p>
      <w:pPr/>
      <w:r>
        <w:rPr>
          <w:b w:val="0"/>
          <w:i w:val="0"/>
        </w:rPr>
        <w:t>Ниже приведен схематический пример для профиля капитала 500 USDT. Числа предназначены только для демонстрации компоновки и соответствуют примеру раздела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Профиль капитала: 500 USDT · ручной · риск 0,35%</w:t>
              <w:br/>
              <w:br/>
              <w:t>DEMOUSDT                                  LONG</w:t>
              <w:br/>
              <w:t>В ЗОНЕ ВХОДА · рекомендация действует еще 38 мин</w:t>
              <w:br/>
              <w:br/>
              <w:t>Цена 100,10       Вход 99,90–100,20</w:t>
              <w:br/>
              <w:t>SL 98,50          Основной TP 103,60</w:t>
              <w:br/>
              <w:br/>
              <w:t>Чистый доход/риск 1,91  ⓘ</w:t>
              <w:br/>
              <w:t>Ожидаемый результат +0,18R  ⓘ</w:t>
              <w:br/>
              <w:br/>
              <w:t>Риск 1,75 USDT    Позиция 97,70 USDT</w:t>
              <w:br/>
              <w:t>⚠ Корреляция с уже открытой LONG-позицией</w:t>
            </w:r>
          </w:p>
        </w:tc>
      </w:tr>
    </w:tbl>
    <w:p>
      <w:pPr/>
      <w:r>
        <w:rPr>
          <w:b w:val="0"/>
          <w:i w:val="0"/>
        </w:rPr>
        <w:t>Плечо, требуемая маржа, схема частичных выходов, составляющие издержек и вероятность исхода открываются в подробном диалоге. Вся плитка является кликабельной; отдельная кнопка «Подробнее» необязательна.</w:t>
      </w:r>
    </w:p>
    <w:p>
      <w:pPr>
        <w:pStyle w:val="Heading2"/>
        <w:keepNext/>
      </w:pPr>
      <w:r>
        <w:rPr>
          <w:b w:val="0"/>
          <w:i w:val="0"/>
        </w:rPr>
        <w:t>2.4. Подробный диалог по нажатию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Вкладка/блок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Содержимое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Торговый план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Текущая/mark price, entry-zone, условия отмены, SL, TP1/TP2, веса частичного выхода, time stop, рекомендуемый тип ордера и график с уровнями.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Риск и капитал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Активный профиль, расчетный капитал, риск %, риск USDT, qty/notional, плечо, маржа, liquidation buffer, portfolio risk after trade и причины ограничения размера.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Экономика сделки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Gross/net reward и risk, gross/net R/R, fee, slippage, funding scenarios, stress costs, break-even probability и net EV.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Почему сформирована рекомендация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3–7 понятных положительных/отрицательных факторов без попытки выдать feature importance за причинность.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Надежность модели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P(TP before SL), calibration bin, число OOS-аналогов, доверительный диапазон, статистика по symbol/liquidity tier/regime и drift status.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Аудит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Signal ID, execution-plan version, model/data/glossary versions, timestamps, specs snapshot, risk guards и история решений оператора.</w:t>
            </w:r>
          </w:p>
        </w:tc>
      </w:tr>
    </w:tbl>
    <w:p>
      <w:pPr/>
      <w:r>
        <w:rPr>
          <w:b w:val="0"/>
          <w:i w:val="0"/>
        </w:rPr>
        <w:t>Кнопки «Принять», «Отклонить», «Скопировать параметры» и «Открыть Bybit» располагаются только в диалоге. Перед принятием система повторно проверяет срок действия, активный профиль капитала, актуальную цену, доступную маржу и портфельные лимиты.</w:t>
      </w:r>
    </w:p>
    <w:p>
      <w:pPr>
        <w:pStyle w:val="Heading2"/>
        <w:keepNext/>
      </w:pPr>
      <w:r>
        <w:rPr>
          <w:b w:val="0"/>
          <w:i w:val="0"/>
        </w:rPr>
        <w:t>2.5. Всплывающие подсказки и единый словарь</w:t>
      </w:r>
    </w:p>
    <w:p>
      <w:pPr/>
      <w:r>
        <w:rPr>
          <w:b w:val="0"/>
          <w:i w:val="0"/>
        </w:rPr>
        <w:t>Подсказка не должна компенсировать непонятную подпись. На основном экране используются простые русские названия («Чистый доход/риск», «Ожидаемый результат», «Объем позиции»), а сокращение приводится вторично. Для каждого неочевидного термина существует одна каноническая формулировка, одинаковая на плитке, в диалоге и в разделе «Справка».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Реализация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Способы вызова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Desktop: hover с задержкой 250–400 мс и keyboard focus. Touch: tap по термину или значку ⓘ.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Доступность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role="tooltip", aria-describedby, управление клавиатурой, закрытие Esc, отсутствие зависимости только от цвета.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Содержание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1–3 коротких предложения: что означает метрика в этой системе, как читать число и чего из него нельзя заключать.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Безопасность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Критические ограничения, просрочка, блокировка и возможный убыток показываются прямо; скрывать их только в tooltip запрещено.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Единообразие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Frontend обращается по help_key к versioned glossary; определения не генерируются моделью и не различаются между страницами.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Максимальная ширина около 320 px, перенос строк, автоматический выбор позиции, один tooltip одновременно, без вложенных подсказок.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Полная справка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Поиск по терминам, русскому названию и сокращению; ссылка «Подробнее» ведет в расширенный словарь.</w:t>
            </w:r>
          </w:p>
        </w:tc>
      </w:tr>
    </w:tbl>
    <w:p>
      <w:pPr/>
      <w:r>
        <w:rPr>
          <w:b/>
          <w:i w:val="0"/>
        </w:rPr>
        <w:t>Ключевые определения для плитки: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Термин на интерфейсе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Краткая каноническая подсказка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SL (Stop Loss)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Цена защитного выхода. При ее достижении система предполагает закрытие позиции; фактический убыток может быть больше при проскальзывании или разрыве цены.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TP (Take Profit)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Цена плановой фиксации прибыли. При нескольких TP итоговый расчет учитывает долю позиции на каждом уровне.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Чистый доход/риск (Net R/R)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Отношение чистой прибыли по плану выхода к стресс-убытку при SL. 1,91 означает 1,91 единицы прибыли на 1 единицу риска; это не вероятность успеха.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Ожидаемый результат (EV)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Средний модельный результат по множеству сопоставимых OOS-сделок после издержек. +0,18R не является обещанием результата конкретной сделки.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Одна единица запланированного риска. При риске 1,75 USDT значение +0,18R соответствует +0,315 USDT среднего модельного результата.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Mark price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Расчетная цена биржи для P&amp;L и ликвидации; может отличаться от последней цены сделки.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Funding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Периодический платеж между LONG и SHORT. Учитывается только если позиция открыта в момент конкретного settlement данного инструмента.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Notional / объем позиции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Полная стоимость позиции без учета плеча. Не равна марже и не равна максимальному убытку.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Leverage / плечо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Отношение notional к используемой марже. Не улучшает R/R и не создает преимущество стратегии.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2.6. Переключатель профиля капитала</w:t>
      </w:r>
    </w:p>
    <w:p>
      <w:pPr/>
      <w:r>
        <w:rPr>
          <w:b w:val="0"/>
          <w:i w:val="0"/>
        </w:rPr>
        <w:t>В шапке интерфейса размещается селектор «Профиль капитала». Пользователь может иметь несколько именованных профилей: например, «Личный 500», «Основной 5 000», «Paper 10 000». Смена профиля вызывает пересчет execution plan для всех активных сигналов без повторного запуска ML-модели.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Поле профиля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Кто изменяет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Название и выделенный капитал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Оператор в разрешенном диапазоне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Определяет, какую часть средств можно использовать для расчета риска.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Источник капитала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Оператор выбирает режим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Read-only Bybit equity либо ручной/виртуальный капитал для paper и изолированных сценариев.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Риск на сделку и общий риск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Risk manager/администратор; оператор обычно только видит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Предотвращает случайное увеличение риска малоопытным оператором.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Leverage policy и margin reserve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Администратор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Ограничения 3×–5× и резерв свободной маржи.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Статус синхронизации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Показывает, подтвержден ли капитал данными Bybit или введен вручную.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Рекомендуемое поведение</w:t>
              <w:br/>
            </w:r>
            <w:r>
              <w:rPr>
                <w:sz w:val="18"/>
              </w:rPr>
              <w:t>Если read-only Bybit подключен, оператор не может задать выделенный капитал выше подтвержденной equity. При ручном режиме допускается произвольный paper-capital, но все плитки и отчеты получают заметную маркировку «Капитал не подтвержден биржей».</w:t>
            </w:r>
          </w:p>
        </w:tc>
      </w:tr>
    </w:tbl>
    <w:p>
      <w:pPr>
        <w:pStyle w:val="Heading1"/>
        <w:keepNext/>
      </w:pPr>
      <w:r>
        <w:t>3. Данные Bybit и динамический universe</w:t>
      </w:r>
    </w:p>
    <w:p>
      <w:pPr>
        <w:pStyle w:val="Heading2"/>
        <w:keepNext/>
      </w:pPr>
      <w:r>
        <w:t>3.1. Проверенные возможности Bybit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691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 и оговорки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Instruments info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Статус, launch/delivery time, min/max leverage, tick size, qty step, min notional, funding interval, pre-listing flag. Для linear символов требуется пагинация, поскольку их более 500 [1].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Kline / WebSocket kline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Исторические свечи и live-свеча; confirm=true означает закрытую свечу [4].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Mark/index price kline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Отдельные ряды mark price и index price; необходимы для basis и контроля liquidation risk [5–6].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Tickers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last/mark/index, best bid/ask, 24h turnover/volume, OI, funding rate, next funding time [2].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Open interest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История OI по интервалам до даты запуска инструмента; возможны задержки в экстремальную волатильность [7].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Funding history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Исторические funding rate; интервал символа различается и запрашивается из instruments-info [8].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Long/short ratio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Доля аккаунтов long/short; это не объем позиций, поэтому трактовать как sentiment feature, а не как поток капитала [9].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Orderbook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Текущий snapshot глубины. Для исторического market impact нужно собирать собственные snapshots [10].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Fee rate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Фактические maker/taker ставки аккаунта доступны через приватный read-only endpoint [3].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Risk limit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MMR, initial margin, max leverage, limit tier и maintenance-margin deduction [11].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3.2. Формирование universe</w:t>
      </w:r>
    </w:p>
    <w:p>
      <w:r>
        <w:t>Universe строится point-in-time: в каждую историческую дату используются только реально доступные тогда инструменты и действовавшие параметры. Нельзя взять сегодняшний список монет и применить его к прошлому — это survivorship и listing bias.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active linear USDT perpetuals at time t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 status == Trading; isPreListing == false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 sufficient age and complete history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 minimum 24h turnover and median hourly turnover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 maximum executable spread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 minimum depth for planned notional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 stable data quality and no extreme API lag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 valid tick/qty/min-notional constraints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 portfolio eligibility</w:t>
            </w:r>
            <w:r>
              <w:br/>
            </w:r>
            <w:r>
              <w:rPr>
                <w:rFonts w:ascii="Courier New" w:hAnsi="Courier New"/>
                <w:sz w:val="17"/>
              </w:rPr>
              <w:t>tradable universe at time 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3.3. Фильтры, которые нельзя задавать навсегда</w:t>
      </w:r>
    </w:p>
    <w:p>
      <w:pPr>
        <w:pStyle w:val="ListBullet"/>
        <w:spacing w:after="40"/>
      </w:pPr>
      <w:r>
        <w:t>Минимальный оборот: должен зависеть от предполагаемого notional, а не быть одним числом для любого капитала.</w:t>
      </w:r>
    </w:p>
    <w:p>
      <w:pPr>
        <w:pStyle w:val="ListBullet"/>
        <w:spacing w:after="40"/>
      </w:pPr>
      <w:r>
        <w:t>Допустимый спред: сравнивается с прогнозируемой gross edge; одинаковый спред имеет разный смысл для TP 0.8% и TP 5%.</w:t>
      </w:r>
    </w:p>
    <w:p>
      <w:pPr>
        <w:pStyle w:val="ListBullet"/>
        <w:spacing w:after="40"/>
      </w:pPr>
      <w:r>
        <w:t>Возраст листинга: задается как минимум истории для конкретных признаков и как отдельный режим «new listing».</w:t>
      </w:r>
    </w:p>
    <w:p>
      <w:pPr>
        <w:pStyle w:val="ListBullet"/>
        <w:spacing w:after="40"/>
      </w:pPr>
      <w:r>
        <w:t>Максимальный размер ордера, tick size, qty step и min notional перечитываются регулярно; Bybit прямо предупреждает, что некоторые лимиты меняются [1].</w:t>
      </w:r>
    </w:p>
    <w:p>
      <w:pPr>
        <w:pStyle w:val="ListBullet"/>
        <w:spacing w:after="40"/>
      </w:pPr>
      <w:r>
        <w:t>Stablecoin-base, leveraged tokens, pre-market и нестандартные TradFi perpetuals следует исключать из первой версии отдельными правилами, а не по строковому совпадению символа.</w:t>
      </w:r>
    </w:p>
    <w:p>
      <w:pPr>
        <w:pStyle w:val="Heading1"/>
        <w:keepNext/>
      </w:pPr>
      <w:r>
        <w:t>4. Постановка ML-задачи</w:t>
      </w:r>
    </w:p>
    <w:p>
      <w:pPr>
        <w:pStyle w:val="Heading2"/>
        <w:keepNext/>
      </w:pPr>
      <w:r>
        <w:t>4.1. Что должна прогнозировать модель</w:t>
      </w:r>
    </w:p>
    <w:p>
      <w:r>
        <w:t>Лучше разделить прогноз и торговое решение. Модель оценивает вероятности исходов и/или условную net return, а policy engine решает, существует ли сделка после расходов.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sz w:val="22"/>
              </w:rPr>
              <w:t>p⁺ = P(TP достигнут раньше SL | Xₜ, direction, horizon)</w:t>
            </w:r>
          </w:p>
        </w:tc>
      </w:tr>
    </w:tbl>
    <w:p>
      <w:pPr>
        <w:spacing w:before="40" w:after="120"/>
        <w:jc w:val="center"/>
      </w:pPr>
      <w:r>
        <w:rPr>
          <w:i/>
          <w:sz w:val="17"/>
        </w:rPr>
        <w:t>Вероятность относится к конкретным барьерам, горизонту, направлению и версии разметки.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sz w:val="22"/>
              </w:rPr>
              <w:t>μ = E[r_net | Xₜ, execution scenario]</w:t>
            </w:r>
          </w:p>
        </w:tc>
      </w:tr>
    </w:tbl>
    <w:p>
      <w:pPr>
        <w:spacing w:before="40" w:after="120"/>
        <w:jc w:val="center"/>
      </w:pPr>
      <w:r>
        <w:rPr>
          <w:i/>
          <w:sz w:val="17"/>
        </w:rPr>
        <w:t>Дополнительная регрессионная цель — ожидаемая чистая доходность при заданном сценарии исполнения.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5043"/>
            <w:shd w:fill="1F6D8C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/>
          </w:p>
        </w:tc>
        <w:tc>
          <w:tcPr>
            <w:tcW w:type="dxa" w:w="5043"/>
            <w:shd w:fill="EAF3F8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Почему NO TRADE не является обычным классом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NO TRADE зависит не только от будущего движения цены, но и от fee tier, размера позиции, ликвидности, портфельной загрузки и требований оператора. Поэтому его правильнее вычислять после прогноза, а не смешивать с рыночной меткой.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4.2. Direction-specific event labeling</w:t>
      </w:r>
    </w:p>
    <w:p>
      <w:r>
        <w:t>Для каждого symbol-time можно рассчитать два условных сценария: гипотетический LONG и гипотетический SHORT. Для каждого сценария задаются entry reference, верхняя/нижняя границы и time barrier. Исходы: TP first, SL first, timeout. Затем результат переводится в денежный net outcome с учетом предполагаемого исполнения.</w:t>
      </w:r>
    </w:p>
    <w:p>
      <w:pPr>
        <w:pStyle w:val="ListBullet"/>
        <w:spacing w:after="40"/>
      </w:pPr>
      <w:r>
        <w:t>Барьер может быть основан на ATR/volatility, но коэффициенты выбираются только в training/validation процессе.</w:t>
      </w:r>
    </w:p>
    <w:p>
      <w:pPr>
        <w:pStyle w:val="ListBullet"/>
        <w:spacing w:after="40"/>
      </w:pPr>
      <w:r>
        <w:t>Если TP и SL находятся внутри одной часовой свечи, порядок касаний неизвестен. Основное решение — восстанавливать путь по 1–5-минутным свечам; резервное — считать исход неблагоприятным или исключать наблюдение.</w:t>
      </w:r>
    </w:p>
    <w:p>
      <w:pPr>
        <w:pStyle w:val="ListBullet"/>
        <w:spacing w:after="40"/>
      </w:pPr>
      <w:r>
        <w:t>При частичной фиксации TP1/TP2 разметка должна моделировать реальную последовательность и остаток позиции, а не один абстрактный target.</w:t>
      </w:r>
    </w:p>
    <w:p>
      <w:pPr>
        <w:pStyle w:val="ListBullet"/>
        <w:spacing w:after="40"/>
      </w:pPr>
      <w:r>
        <w:t>Stop trigger и liquidation control должны использовать согласованные price types. На Bybit liquidation запускается mark price; stop, заданный по LTP, может сработать позже [12–13].</w:t>
      </w:r>
    </w:p>
    <w:p>
      <w:pPr>
        <w:pStyle w:val="Heading2"/>
        <w:keepNext/>
      </w:pPr>
      <w:r>
        <w:t>4.3. Горизонт и множественные модели</w:t>
      </w:r>
    </w:p>
    <w:p>
      <w:r>
        <w:t>Горизонт 4–12 часов является разумным инженерным диапазоном, но не доказанной константой. Возможны три схемы: отдельная модель на 4/8/12 часов; multi-horizon features с отдельными heads; одна модель с horizon как признаком. Для первой версии проще и прозрачнее отдельные модели на 4, 8 и 12 часов с единым решающим слоем.</w:t>
      </w:r>
    </w:p>
    <w:p>
      <w:pPr>
        <w:pStyle w:val="Heading1"/>
        <w:keepNext/>
      </w:pPr>
      <w:r>
        <w:t>5. Признаки и защита от утечки</w:t>
      </w:r>
    </w:p>
    <w:p>
      <w:pPr>
        <w:pStyle w:val="Heading2"/>
        <w:keepNext/>
      </w:pPr>
      <w:r>
        <w:t>5.1. Группы признаков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0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714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Примеры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Momentum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log returns 1/2/3/6/12/24/48/72h, EMA distance/slope, breakout, acceleration, drawdown from local high/low.</w:t>
            </w:r>
          </w:p>
        </w:tc>
      </w:tr>
      <w:tr>
        <w:trPr>
          <w:cantSplit/>
        </w:trPr>
        <w:tc>
          <w:tcPr>
            <w:tcW w:type="dxa" w:w="204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Cross-sectional</w:t>
            </w:r>
          </w:p>
        </w:tc>
        <w:tc>
          <w:tcPr>
            <w:tcW w:type="dxa" w:w="714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rank доходности и объема внутри universe, relative strength к BTC/ETH, residual return после market beta.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Volatility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ATR, realized vol, range estimators, vol-of-vol, downside/upside semivolatility, regime percentile.</w:t>
            </w:r>
          </w:p>
        </w:tc>
      </w:tr>
      <w:tr>
        <w:trPr>
          <w:cantSplit/>
        </w:trPr>
        <w:tc>
          <w:tcPr>
            <w:tcW w:type="dxa" w:w="204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Volume/OI</w:t>
            </w:r>
          </w:p>
        </w:tc>
        <w:tc>
          <w:tcPr>
            <w:tcW w:type="dxa" w:w="714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volume z-score, change in OI, price–OI interaction, turnover acceleration, abnormal activity flags.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Funding/basis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current and lagged funding, time to next settlement, mark-index basis, premium-index dynamics.</w:t>
            </w:r>
          </w:p>
        </w:tc>
      </w:tr>
      <w:tr>
        <w:trPr>
          <w:cantSplit/>
        </w:trPr>
        <w:tc>
          <w:tcPr>
            <w:tcW w:type="dxa" w:w="204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Liquidity</w:t>
            </w:r>
          </w:p>
        </w:tc>
        <w:tc>
          <w:tcPr>
            <w:tcW w:type="dxa" w:w="714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best spread, depth VWAP for planned notional, book imbalance, fill coverage, spread volatility.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Market context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BTC/ETH trend, breadth, cross-asset dispersion, aggregate funding, common-factor volatility.</w:t>
            </w:r>
          </w:p>
        </w:tc>
      </w:tr>
      <w:tr>
        <w:trPr>
          <w:cantSplit/>
        </w:trPr>
        <w:tc>
          <w:tcPr>
            <w:tcW w:type="dxa" w:w="204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Instrument metadata</w:t>
            </w:r>
          </w:p>
        </w:tc>
        <w:tc>
          <w:tcPr>
            <w:tcW w:type="dxa" w:w="714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age, liquidity tier, tick/value granularity, risk tier, funding interval, listing regime.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5.2. Эконометрические требования к признакам</w:t>
      </w:r>
    </w:p>
    <w:p>
      <w:pPr>
        <w:pStyle w:val="ListBullet"/>
        <w:spacing w:after="40"/>
      </w:pPr>
      <w:r>
        <w:t>Использовать доходности, отношения и rolling z-scores вместо необработанных уровней цены, где это возможно.</w:t>
      </w:r>
    </w:p>
    <w:p>
      <w:pPr>
        <w:pStyle w:val="ListBullet"/>
        <w:spacing w:after="40"/>
      </w:pPr>
      <w:r>
        <w:t>Все rolling-преобразования вычислять только из прошлого; normalization parameters не могут использовать будущий test interval.</w:t>
      </w:r>
    </w:p>
    <w:p>
      <w:pPr>
        <w:pStyle w:val="ListBullet"/>
        <w:spacing w:after="40"/>
      </w:pPr>
      <w:r>
        <w:t>Параметры universe, fees, funding interval и contract specs должны быть исторически корректными.</w:t>
      </w:r>
    </w:p>
    <w:p>
      <w:pPr>
        <w:pStyle w:val="ListBullet"/>
        <w:spacing w:after="40"/>
      </w:pPr>
      <w:r>
        <w:t>Кросс-секционные ranks вычисляются только по инструментам, доступным в тот момент.</w:t>
      </w:r>
    </w:p>
    <w:p>
      <w:pPr>
        <w:pStyle w:val="ListBullet"/>
        <w:spacing w:after="40"/>
      </w:pPr>
      <w:r>
        <w:t>OI и account-ratio могут приходить с задержкой; backtest должен использовать publish/availability timestamp, а не только timestamp наблюдения.</w:t>
      </w:r>
    </w:p>
    <w:p>
      <w:pPr>
        <w:pStyle w:val="ListBullet"/>
        <w:spacing w:after="40"/>
      </w:pPr>
      <w:r>
        <w:t>Нельзя подставлять финальные значения незакрытой часовой свечи в решение, принятое раньше ее закрытия.</w:t>
      </w:r>
    </w:p>
    <w:p>
      <w:pPr>
        <w:pStyle w:val="Heading2"/>
        <w:keepNext/>
      </w:pPr>
      <w:r>
        <w:t>5.3. Feature governance</w:t>
      </w:r>
    </w:p>
    <w:p>
      <w:r>
        <w:t>Каждый признак регистрируется в feature registry: формула, источники, временная доступность, lookback, допустимые пропуски, версия и unit test. Это важнее добавления десятков индикаторов: большая часть ошибок финансового ML возникает из-за времени доступности данных, а не из-за выбора алгоритма.</w:t>
      </w:r>
    </w:p>
    <w:p>
      <w:pPr>
        <w:pStyle w:val="Heading1"/>
        <w:keepNext/>
      </w:pPr>
      <w:r>
        <w:t>6. Модели и калибровка</w:t>
      </w:r>
    </w:p>
    <w:p>
      <w:pPr>
        <w:pStyle w:val="Heading2"/>
        <w:keepNext/>
      </w:pPr>
      <w:r>
        <w:t>6.1. Рекомендуемая последовательность моделей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737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Baseline 0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Наивная политика: no trade, momentum sign, простая volatility-scaled momentum. Нужна для проверки, добавляет ли ML экономическую ценность.</w:t>
            </w:r>
          </w:p>
        </w:tc>
      </w:tr>
      <w:tr>
        <w:trPr>
          <w:cantSplit/>
        </w:trPr>
        <w:tc>
          <w:tcPr>
            <w:tcW w:type="dxa" w:w="181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Baseline 1</w:t>
            </w:r>
          </w:p>
        </w:tc>
        <w:tc>
          <w:tcPr>
            <w:tcW w:type="dxa" w:w="737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Logistic regression / multinomial logistic для TP-first, SL-first, timeout. Интерпретируемая и устойчивая контрольная модель.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Nonlinear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HistGradientBoostingClassifier/Regressor или аналогичный gradient boosting из scikit-learn.</w:t>
            </w:r>
          </w:p>
        </w:tc>
      </w:tr>
      <w:tr>
        <w:trPr>
          <w:cantSplit/>
        </w:trPr>
        <w:tc>
          <w:tcPr>
            <w:tcW w:type="dxa" w:w="181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Ensemble</w:t>
            </w:r>
          </w:p>
        </w:tc>
        <w:tc>
          <w:tcPr>
            <w:tcW w:type="dxa" w:w="737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Допускается только если улучшение net OOS performance стабильно по временным окнам, а не только в среднем.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Specialists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Отдельные модели для BTC/ETH или liquidity tiers — только после сравнения с pooled baseline на одинаковых окнах.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6.2. Pooled panel model</w:t>
      </w:r>
    </w:p>
    <w:p>
      <w:r>
        <w:t>Единая модель по всем инструментам является разумной стартовой гипотезой, поскольку увеличивает число наблюдений и позволяет изучать общие паттерны. Но она должна учитывать неоднородность: liquidity tier, age, beta к BTC, funding regime и interaction features. Признаки следует нормировать rolling-способом внутри инструмента или внутри cross-section, иначе модель может выучить ценовой масштаб и различия листингов вместо закономерностей.</w:t>
      </w:r>
    </w:p>
    <w:p>
      <w:pPr>
        <w:pStyle w:val="Heading2"/>
        <w:keepNext/>
      </w:pPr>
      <w:r>
        <w:t>6.3. Калибровка вероятностей</w:t>
      </w:r>
    </w:p>
    <w:p>
      <w:r>
        <w:t>Вероятность на плитке должна быть калиброванной: среди наблюдений с прогнозом около 0.60 событие TP-first должно происходить примерно в 60% случаев в сопоставимом режиме. Пост-калибровка Platt/sigmoid или isotonic может улучшать probability quality, но выполняется только на отдельном временном calibration set или на out-of-fold temporal predictions [14].</w:t>
      </w:r>
    </w:p>
    <w:p>
      <w:pPr>
        <w:pStyle w:val="ListBullet"/>
        <w:spacing w:after="40"/>
      </w:pPr>
      <w:r>
        <w:t>Калибровку оценивать Brier score, log loss, reliability diagram и expected calibration error; AUC не измеряет калибровку.</w:t>
      </w:r>
    </w:p>
    <w:p>
      <w:pPr>
        <w:pStyle w:val="ListBullet"/>
        <w:spacing w:after="40"/>
      </w:pPr>
      <w:r>
        <w:t>Isotonic требует достаточно данных и легко переобучается на малой выборке; sigmoid обычно устойчивее как начальный вариант.</w:t>
      </w:r>
    </w:p>
    <w:p>
      <w:pPr>
        <w:pStyle w:val="ListBullet"/>
        <w:spacing w:after="40"/>
      </w:pPr>
      <w:r>
        <w:t>Порог сделки выбирается не по accuracy, а по максимизации net utility с ограничениями по turnover и drawdown.</w:t>
      </w:r>
    </w:p>
    <w:p>
      <w:pPr>
        <w:pStyle w:val="Heading2"/>
        <w:keepNext/>
      </w:pPr>
      <w:r>
        <w:t>6.4. Drift и переобучение</w:t>
      </w:r>
    </w:p>
    <w:p>
      <w:pPr>
        <w:pStyle w:val="ListBullet"/>
        <w:spacing w:after="40"/>
      </w:pPr>
      <w:r>
        <w:t>Переобучение по расписанию, например еженедельно, допустимо только после проверки достаточного объема новых данных.</w:t>
      </w:r>
    </w:p>
    <w:p>
      <w:pPr>
        <w:pStyle w:val="ListBullet"/>
        <w:spacing w:after="40"/>
      </w:pPr>
      <w:r>
        <w:t>Ежедневно отслеживаются PSI/feature drift, probability drift, calibration drift и realized cost error.</w:t>
      </w:r>
    </w:p>
    <w:p>
      <w:pPr>
        <w:pStyle w:val="ListBullet"/>
        <w:spacing w:after="40"/>
      </w:pPr>
      <w:r>
        <w:t>При деградации система переводит соответствующую модель/монету в NO TRADE или fallback baseline, а не продолжает выдавать сигналы.</w:t>
      </w:r>
    </w:p>
    <w:p>
      <w:pPr>
        <w:pStyle w:val="Heading1"/>
        <w:keepNext/>
      </w:pPr>
      <w:r>
        <w:t>7. Математика издержек, R/R и EV</w:t>
      </w:r>
    </w:p>
    <w:p>
      <w:pPr>
        <w:pStyle w:val="Heading2"/>
        <w:keepNext/>
      </w:pPr>
      <w:r>
        <w:t>7.1. Базовый денежный P&amp;L</w:t>
      </w:r>
    </w:p>
    <w:p>
      <w:r>
        <w:t>Пусть s=+1 для LONG и s=−1 для SHORT, Q — количество базового актива, E — фактическая цена входа, X — фактическая цена выхода.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sz w:val="22"/>
              </w:rPr>
              <w:t>PnL_gross = s · Q · (X − E)</w:t>
            </w:r>
          </w:p>
        </w:tc>
      </w:tr>
    </w:tbl>
    <w:p>
      <w:pPr>
        <w:spacing w:after="0"/>
      </w:pPr>
    </w:p>
    <w:p>
      <w:r>
        <w:t>Чистый результат должен включать фактически ожидаемые денежные потоки: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sz w:val="22"/>
              </w:rPr>
              <w:t>PnL_net = PnL_gross − Fee_in − Fee_out − Impact − OtherCosts + FundingCashFlow</w:t>
            </w:r>
          </w:p>
        </w:tc>
      </w:tr>
    </w:tbl>
    <w:p>
      <w:pPr>
        <w:spacing w:after="0"/>
      </w:pPr>
    </w:p>
    <w:p>
      <w:r>
        <w:t>Для linear USDT contracts торговая комиссия рассчитывается от executed notional. Ставки следует брать из account fee-rate; справочные не-VIP ставки нельзя считать универсальными [3, 15].</w:t>
      </w:r>
    </w:p>
    <w:p>
      <w:pPr>
        <w:pStyle w:val="Heading2"/>
        <w:keepNext/>
      </w:pPr>
      <w:r>
        <w:t>7.2. Funding</w:t>
      </w:r>
    </w:p>
    <w:p>
      <w:r>
        <w:t>Funding не является постоянным «процентом за час». Он возникает только при наличии позиции в момент settlement. При положительном funding long платит short; при отрицательном — наоборот [8, 16]. Для позиции со знаком s денежный поток с точки зрения трейдера можно записать как: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sz w:val="22"/>
              </w:rPr>
              <w:t>FundingCashFlow_k = −s · PositionValue_k · FundingRate_k</w:t>
            </w:r>
          </w:p>
        </w:tc>
      </w:tr>
    </w:tbl>
    <w:p>
      <w:pPr>
        <w:spacing w:after="0"/>
      </w:pPr>
    </w:p>
    <w:p>
      <w:r>
        <w:t>Суммируются только реально пересеченные settlement timestamps. Для будущего funding используется сценарий или прогноз с uncertainty buffer, а не известное заранее значение.</w:t>
      </w:r>
    </w:p>
    <w:p>
      <w:pPr>
        <w:pStyle w:val="Heading2"/>
        <w:keepNext/>
      </w:pPr>
      <w:r>
        <w:t>7.3. Исполняемая цена и slippage</w:t>
      </w:r>
    </w:p>
    <w:p>
      <w:pPr>
        <w:pStyle w:val="ListBullet"/>
        <w:spacing w:after="40"/>
      </w:pPr>
      <w:r>
        <w:t>Decision reference может быть mid, last или mark, но fill моделируется по стороне стакана: buy по ask-side, sell по bid-side.</w:t>
      </w:r>
    </w:p>
    <w:p>
      <w:pPr>
        <w:pStyle w:val="ListBullet"/>
        <w:spacing w:after="40"/>
      </w:pPr>
      <w:r>
        <w:t>Expected fill = VWAP по доступной глубине на planned qty + latency/impact adjustment.</w:t>
      </w:r>
    </w:p>
    <w:p>
      <w:pPr>
        <w:pStyle w:val="ListBullet"/>
        <w:spacing w:after="40"/>
      </w:pPr>
      <w:r>
        <w:t>Если VWAP уже начинается с ask/bid, bid-ask spread в нем учтен. Дополнительно прибавлять полный spread нельзя.</w:t>
      </w:r>
    </w:p>
    <w:p>
      <w:pPr>
        <w:pStyle w:val="ListBullet"/>
        <w:spacing w:after="40"/>
      </w:pPr>
      <w:r>
        <w:t>Market impact должен зависеть от notional/depth, volatility и режима. Простая фиксированная slippage-константа допустима только как консервативный baseline.</w:t>
      </w:r>
    </w:p>
    <w:p>
      <w:pPr>
        <w:pStyle w:val="ListBullet"/>
        <w:spacing w:after="40"/>
      </w:pPr>
      <w:r>
        <w:t>Историческая калибровка точного impact возможна после накопления собственных orderbook snapshots и фактических решений оператора.</w:t>
      </w:r>
    </w:p>
    <w:p>
      <w:pPr>
        <w:pStyle w:val="Heading2"/>
        <w:keepNext/>
      </w:pPr>
      <w:r>
        <w:t>7.4. Net R/R</w:t>
      </w:r>
    </w:p>
    <w:p>
      <w:r>
        <w:t>Для одного TP и одного SL определяются денежные результаты в двух сценариях. В downside добавляется резерв на проскальзывание stop/gap, поскольку stop price не гарантирует fill по этой цене.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sz w:val="22"/>
              </w:rPr>
              <w:t>R/R_net = NetProfit_if_TP / |NetLoss_if_SL|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5043"/>
            <w:shd w:fill="1F6D8C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/>
          </w:p>
        </w:tc>
        <w:tc>
          <w:tcPr>
            <w:tcW w:type="dxa" w:w="5043"/>
            <w:shd w:fill="EAF3F8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Важное ограничение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R/R не является вероятностью и не определяет EV без вероятностей исходов. Высокий R/R может сопровождаться очень низкой вероятностью TP; высокая win rate может быть убыточной при плохом payoff.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7.5. Ожидаемая ценность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sz w:val="22"/>
              </w:rPr>
              <w:t>EV = p_TP·Π_TP + p_SL·Π_SL + p_TO·Π_TO</w:t>
            </w:r>
          </w:p>
        </w:tc>
      </w:tr>
    </w:tbl>
    <w:p>
      <w:pPr>
        <w:spacing w:before="40" w:after="120"/>
        <w:jc w:val="center"/>
      </w:pPr>
      <w:r>
        <w:rPr>
          <w:i/>
          <w:sz w:val="17"/>
        </w:rPr>
        <w:t>Здесь Π_SL отрицателен; все Π выражены после расходов в USDT или в долях notional.</w:t>
      </w:r>
    </w:p>
    <w:p>
      <w:r>
        <w:t>Для частичных TP используется дерево денежных потоков либо симуляция последовательности. Упрощенное усреднение TP допустимо только если weights и остаточный stop точно соответствуют торговому плану.</w:t>
      </w:r>
    </w:p>
    <w:p>
      <w:pPr>
        <w:pStyle w:val="Heading2"/>
        <w:keepNext/>
      </w:pPr>
      <w:r>
        <w:t>7.6. Проверенный числовой пример</w:t>
      </w:r>
    </w:p>
    <w:p>
      <w:r>
        <w:t>Иллюстрация предназначена для проверки арифметики, а не как универсальный торговый порог: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635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Расчет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Капитал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20 000 USDT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Риск на сделку</w:t>
            </w:r>
          </w:p>
        </w:tc>
        <w:tc>
          <w:tcPr>
            <w:tcW w:type="dxa" w:w="635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0.35% = 70 USDT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Entry / SL / TP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100.00 / 98.50 / 103.60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Gross risk</w:t>
            </w:r>
          </w:p>
        </w:tc>
        <w:tc>
          <w:tcPr>
            <w:tcW w:type="dxa" w:w="635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1.50%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Entry+exit fees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0.11% (пример taker+taker)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Expected slippage</w:t>
            </w:r>
          </w:p>
        </w:tc>
        <w:tc>
          <w:tcPr>
            <w:tcW w:type="dxa" w:w="635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0.08% суммарно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Gap/stop reserve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0.10% только в downside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Effective downside</w:t>
            </w:r>
          </w:p>
        </w:tc>
        <w:tc>
          <w:tcPr>
            <w:tcW w:type="dxa" w:w="635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1.50% + 0.11% + 0.08% + 0.10% = 1.79%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Net upside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3.60% − 0.11% − 0.08% = 3.41%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Net R/R</w:t>
            </w:r>
          </w:p>
        </w:tc>
        <w:tc>
          <w:tcPr>
            <w:tcW w:type="dxa" w:w="635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3.41 / 1.79 = 1.91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Position notional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70 / 0.0179 = 3 910.61 USDT</w:t>
            </w:r>
          </w:p>
        </w:tc>
      </w:tr>
      <w:tr>
        <w:trPr>
          <w:cantSplit/>
        </w:trPr>
        <w:tc>
          <w:tcPr>
            <w:tcW w:type="dxa" w:w="2835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Маржа при 3×</w:t>
            </w:r>
          </w:p>
        </w:tc>
        <w:tc>
          <w:tcPr>
            <w:tcW w:type="dxa" w:w="635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≈1 303.54 USDT плюс требования биржи/резервы</w:t>
            </w:r>
          </w:p>
        </w:tc>
      </w:tr>
    </w:tbl>
    <w:p>
      <w:pPr>
        <w:spacing w:after="0"/>
      </w:pPr>
    </w:p>
    <w:p>
      <w:r>
        <w:t>При pTP=0.42, pSL=0.48, pTO=0.10 и timeout outcome −0.20% net EV составит примерно +0.553% notional. Это положительное математическое ожидание только при корректной калибровке вероятностей и реалистичных расходах; само значение pTP=0.42 не является достаточным доказательством.</w:t>
      </w:r>
    </w:p>
    <w:p>
      <w:pPr>
        <w:pStyle w:val="Heading1"/>
        <w:keepNext/>
      </w:pPr>
      <w:r>
        <w:t>8. Капитал, размер позиции, плечо и ликвидационный риск</w:t>
      </w:r>
    </w:p>
    <w:p>
      <w:pPr>
        <w:pStyle w:val="Heading2"/>
        <w:keepNext/>
      </w:pPr>
      <w:r>
        <w:rPr>
          <w:b w:val="0"/>
          <w:i w:val="0"/>
        </w:rPr>
        <w:t>8.1. Разделение рыночного сигнала и execution plan</w:t>
      </w:r>
    </w:p>
    <w:p>
      <w:pPr/>
      <w:r>
        <w:rPr>
          <w:b w:val="0"/>
          <w:i w:val="0"/>
        </w:rPr>
        <w:t>Рыночный сигнал является capital-independent: symbol, direction, entry-zone, SL, TP, horizon, probabilities и net economics на единицу notional одинаковы для всех пользователей. Execution plan является account-dependent: risk budget, qty, notional, margin, leverage, portfolio status и фактическая исполнимость рассчитываются отдельно для каждого профиля капитала.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Следствие</w:t>
              <w:br/>
            </w:r>
            <w:r>
              <w:rPr>
                <w:sz w:val="18"/>
              </w:rPr>
              <w:t>Изменение капитала с 500 на 5 000 USDT не должно менять цвет направления, уровни или качество сигнала. Оно меняет денежный риск и размер позиции примерно пропорционально, пока не сработают min-order, margin, liquidity, portfolio или exchange caps.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8.2. Как задавать расчетный капитал</w:t>
      </w:r>
    </w:p>
    <w:p>
      <w:pPr/>
      <w:r>
        <w:rPr>
          <w:b w:val="0"/>
          <w:i w:val="0"/>
        </w:rPr>
        <w:t>Для каждого профиля хранится allocated capital C_alloc. В live/read-only режиме он сравнивается с текущей equity и консервативной дневной базой. Рекомендуемый default для часовой системы: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C_eff = min(C_alloc, E_now, E_day_start)</w:t>
            </w:r>
          </w:p>
        </w:tc>
      </w:tr>
    </w:tbl>
    <w:p>
      <w:pPr/>
      <w:r>
        <w:rPr>
          <w:b w:val="0"/>
          <w:i w:val="0"/>
        </w:rPr>
        <w:t>Здесь C_eff — капитал, используемый для sizing; E_now — текущая equity; E_day_start — equity в начале торгового дня. Такое правило уменьшает риск после внутридневной просадки, но не увеличивает его немедленно за счет нереализованной прибыли. В paper-режиме используются virtual equity и virtual day-start equity. Политика является настраиваемой, но должна быть единой и версионируемой.</w:t>
      </w:r>
    </w:p>
    <w:p>
      <w:pPr/>
      <w:r>
        <w:rPr>
          <w:b w:val="0"/>
          <w:i w:val="0"/>
        </w:rPr>
        <w:t>Available margin не подменяет C_eff. Капитал задает допустимый убыток, а свободная маржа используется отдельной проверкой исполнимости позиции.</w:t>
      </w:r>
    </w:p>
    <w:p>
      <w:pPr>
        <w:pStyle w:val="Heading2"/>
        <w:keepNext/>
      </w:pPr>
      <w:r>
        <w:rPr>
          <w:b w:val="0"/>
          <w:i w:val="0"/>
        </w:rPr>
        <w:t>8.3. Риск-бюджет и базовый размер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B_trade = C_eff × r_trade</w:t>
              <w:br/>
              <w:t>N_risk = B_trade / d_stress</w:t>
            </w:r>
          </w:p>
        </w:tc>
      </w:tr>
    </w:tbl>
    <w:p>
      <w:pPr/>
      <w:r>
        <w:rPr>
          <w:b w:val="0"/>
          <w:i w:val="0"/>
        </w:rPr>
        <w:t>B_trade — максимально допустимый стресс-убыток сделки в USDT; r_trade — утвержденный риск на сделку; d_stress — доля убытка от entry до SL с учетом fee, ожидаемого slippage, gap/stop reserve и funding, если settlement попадает в сценарий удержания. Плечо в эту формулу не входит.</w:t>
      </w:r>
    </w:p>
    <w:p>
      <w:pPr/>
      <w:r>
        <w:rPr>
          <w:b w:val="0"/>
          <w:i w:val="0"/>
        </w:rPr>
        <w:t>Для малоопытного оператора r_trade не следует делать свободным полем на каждой плитке. Он задается в risk policy, имеет жесткий верхний предел и изменяется только пользователем с соответствующей ролью.</w:t>
      </w:r>
    </w:p>
    <w:p>
      <w:pPr>
        <w:pStyle w:val="Heading2"/>
        <w:keepNext/>
      </w:pPr>
      <w:r>
        <w:rPr>
          <w:b w:val="0"/>
          <w:i w:val="0"/>
        </w:rPr>
        <w:t>8.4. Ограничения и округление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N_final_raw = min(N_risk, N_margin, N_liquidity, N_portfolio, N_exchange)</w:t>
              <w:br/>
              <w:t>qty_raw = N_final_raw / P_entry</w:t>
              <w:br/>
              <w:t>qty = floor(qty_raw / qtyStep) × qtyStep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N_margin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Размер, который укладывается в доступную маржу с заданным reserve и leverage policy. Финальная проверка использует актуальные правила аккаунта/биржи.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N_liquidity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Максимальный размер при допустимом spread/impact/depth coverage. Для крупного капитала рост позиции может перестать быть линейным.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N_portfolio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Оставшийся лимит общего и кластерного риска с учетом открытых позиций.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N_exchange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min/max qty, min notional, qtyStep, risk tier и прочие спецификации инструмента.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Округление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Только вниз. После округления повторно рассчитываются actual stress loss, margin и min-order checks.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Критическое правило для небольших счетов</w:t>
              <w:br/>
            </w:r>
            <w:r>
              <w:rPr>
                <w:sz w:val="18"/>
              </w:rPr>
              <w:t>Если минимальный допустимый ордер требует риска выше B_trade, система не округляет размер вверх. Execution plan получает статус BLOCKED_MIN_SIZE: «Для этого инструмента безопасный размер меньше минимального ордера биржи».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8.5. Плечо 3×–5×</w:t>
      </w:r>
    </w:p>
    <w:p>
      <w:pPr/>
      <w:r>
        <w:rPr>
          <w:b w:val="0"/>
          <w:i w:val="0"/>
        </w:rPr>
        <w:t>Плечо применяется после определения notional. Оно уменьшает требуемую initial margin и меняет liquidation buffer, но не изменяет P&amp;L на notional, net R/R или EV стратегии. Рекомендуемый default — 3×; 4×–5× разрешаются только при достаточной ликвидности, свободной марже и безопасном расстоянии до liquidation price. Isolated margin предпочтительнее для управляемого ограничения позиции.</w:t>
      </w:r>
    </w:p>
    <w:p>
      <w:pPr/>
      <w:r>
        <w:rPr>
          <w:b w:val="0"/>
          <w:i w:val="0"/>
        </w:rPr>
        <w:t>При ручном исполнении диалог должен показывать одновременно notional, qty, leverage, оценочную margin и стресс-убыток. Маржа не должна называться «риском»: это разные величины.</w:t>
      </w:r>
    </w:p>
    <w:p>
      <w:pPr>
        <w:pStyle w:val="Heading2"/>
        <w:keepNext/>
      </w:pPr>
      <w:r>
        <w:rPr>
          <w:b w:val="0"/>
          <w:i w:val="0"/>
        </w:rPr>
        <w:t>8.6. Проверенный пример для 500 и 5 000 USDT</w:t>
      </w:r>
    </w:p>
    <w:p>
      <w:pPr/>
      <w:r>
        <w:rPr>
          <w:b w:val="0"/>
          <w:i w:val="0"/>
        </w:rPr>
        <w:t>Используется пример раздела 7: risk rate 0,35%, effective downside d_stress = 1,79%, entry = 100 USDT, leverage = 3×. Для иллюстрации qtyStep принят равным 0,001; реальные параметры всегда берутся из instrument specs.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Капитал 500 USDT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Капитал 5 000 USDT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Риск-бюджет B_trade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1,75 USDT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17,50 USDT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N_risk до округления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97,765 USDT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977,654 USDT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qty до округления при entry=100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0,977654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9,776536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qty после округления вниз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0,977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9,776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Фактический notional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97,70 USDT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977,60 USDT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Фактический stress loss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1,74883 USDT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17,49904 USDT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Оценочная margin при 3×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32,57 USDT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325,87 USDT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Рыночные уровни и net R/R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Не меняются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Не меняются</w:t>
            </w:r>
          </w:p>
        </w:tc>
      </w:tr>
    </w:tbl>
    <w:p>
      <w:pPr/>
      <w:r>
        <w:rPr>
          <w:b w:val="0"/>
          <w:i w:val="0"/>
        </w:rPr>
        <w:t>Линейное масштабирование сохраняется только до первого активного ограничения. Для 500 USDT чаще возникают minQty/minNotional и грубое округление; для значительно большего капитала — liquidity/impact, risk tier, available margin и portfolio caps.</w:t>
      </w:r>
    </w:p>
    <w:p>
      <w:pPr>
        <w:pStyle w:val="Heading2"/>
        <w:keepNext/>
      </w:pPr>
      <w:r>
        <w:rPr>
          <w:b w:val="0"/>
          <w:i w:val="0"/>
        </w:rPr>
        <w:t>8.7. Статусы исполнимости по профилю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Когда используется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ACTIONABLE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Размер после всех проверок положителен, риск не превышен, цена и срок актуальны.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LIMITED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Позиция уменьшена liquidity, margin или portfolio cap; фактический риск ниже целевого.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BLOCKED_MIN_SIZE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Минимальный ордер потребовал бы превышения risk budget.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BLOCKED_MARGIN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Недостаточно свободной маржи с учетом резерва.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BLOCKED_PORTFOLIO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Исчерпан общий/кластерный риск.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BLOCKED_LIQUIDITY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Безопасный размер не может быть исполнен с допустимыми издержками.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CAPITAL_UNVERIFIED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Ручной капитал не подтвержден read-only данными Bybit; допустимо для paper, требует явной маркировки.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8.8. Snapshot и воспроизводимость</w:t>
      </w:r>
    </w:p>
    <w:p>
      <w:pPr/>
      <w:r>
        <w:rPr>
          <w:b w:val="0"/>
          <w:i w:val="0"/>
        </w:rPr>
        <w:t>Каждый execution plan сохраняет snapshot: profile_id/version, C_alloc, C_eff, equity/source timestamp, r_trade, available margin, leverage policy, d_stress, все caps, qtyStep, округленный qty и actual stress loss. Изменение профиля создает новую версию плана; историческая рекомендация не пересчитывается задним числом.</w:t>
      </w:r>
    </w:p>
    <w:p>
      <w:pPr>
        <w:pStyle w:val="Heading1"/>
        <w:keepNext/>
      </w:pPr>
      <w:r>
        <w:t>9. Портфельный риск</w:t>
      </w:r>
    </w:p>
    <w:p>
      <w:r>
        <w:t>Независимые плитки могут создавать скрытую общую ставку. Несколько long-позиций по SOL, AVAX, DOGE и LINK часто являются одной экспозицией к BTC/crypto beta. Поэтому recommendation engine должен видеть текущий портфель.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Контроль</w:t>
            </w:r>
          </w:p>
        </w:tc>
        <w:tc>
          <w:tcPr>
            <w:tcW w:type="dxa" w:w="68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Total open risk</w:t>
            </w:r>
          </w:p>
        </w:tc>
        <w:tc>
          <w:tcPr>
            <w:tcW w:type="dxa" w:w="6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Сумма stop-loss risk по всем позициям с учетом стресс-издержек.</w:t>
            </w:r>
          </w:p>
        </w:tc>
      </w:tr>
      <w:tr>
        <w:trPr>
          <w:cantSplit/>
        </w:trPr>
        <w:tc>
          <w:tcPr>
            <w:tcW w:type="dxa" w:w="232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Directional exposure</w:t>
            </w:r>
          </w:p>
        </w:tc>
        <w:tc>
          <w:tcPr>
            <w:tcW w:type="dxa" w:w="686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Ограничения на суммарные LONG и SHORT notional/beta.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Correlation clusters</w:t>
            </w:r>
          </w:p>
        </w:tc>
        <w:tc>
          <w:tcPr>
            <w:tcW w:type="dxa" w:w="6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Кластеры по rolling correlation или market-factor loadings; ограничение риска на кластер.</w:t>
            </w:r>
          </w:p>
        </w:tc>
      </w:tr>
      <w:tr>
        <w:trPr>
          <w:cantSplit/>
        </w:trPr>
        <w:tc>
          <w:tcPr>
            <w:tcW w:type="dxa" w:w="232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Liquidity tier</w:t>
            </w:r>
          </w:p>
        </w:tc>
        <w:tc>
          <w:tcPr>
            <w:tcW w:type="dxa" w:w="686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Отдельный лимит на менее ликвидные альткоины.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Single-name cap</w:t>
            </w:r>
          </w:p>
        </w:tc>
        <w:tc>
          <w:tcPr>
            <w:tcW w:type="dxa" w:w="6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Максимальный notional и риск на один symbol.</w:t>
            </w:r>
          </w:p>
        </w:tc>
      </w:tr>
      <w:tr>
        <w:trPr>
          <w:cantSplit/>
        </w:trPr>
        <w:tc>
          <w:tcPr>
            <w:tcW w:type="dxa" w:w="232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Drawdown gates</w:t>
            </w:r>
          </w:p>
        </w:tc>
        <w:tc>
          <w:tcPr>
            <w:tcW w:type="dxa" w:w="686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Daily/weekly loss limit, cooling-off после серии потерь, снижение risk multiplier.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Regime gate</w:t>
            </w:r>
          </w:p>
        </w:tc>
        <w:tc>
          <w:tcPr>
            <w:tcW w:type="dxa" w:w="6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Снижение размера или NO TRADE при экстремальной market volatility, spread shock, API lag.</w:t>
            </w:r>
          </w:p>
        </w:tc>
      </w:tr>
      <w:tr>
        <w:trPr>
          <w:cantSplit/>
        </w:trPr>
        <w:tc>
          <w:tcPr>
            <w:tcW w:type="dxa" w:w="232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Margin headroom</w:t>
            </w:r>
          </w:p>
        </w:tc>
        <w:tc>
          <w:tcPr>
            <w:tcW w:type="dxa" w:w="686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Минимальный свободный available balance после открытия всех принятых рекомендаций.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5043"/>
            <w:shd w:fill="1F6D8C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/>
          </w:p>
        </w:tc>
        <w:tc>
          <w:tcPr>
            <w:tcW w:type="dxa" w:w="5043"/>
            <w:shd w:fill="EAF3F8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Решение при конфликте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Плитка может оставаться качественным рыночным сигналом, но иметь статус BLOCKED_BY_PORTFOLIO. Это нужно различать в журнале: модель была права/неправа отдельно от того, допустил ли risk engine сделку.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Backtest и эконометрическая проверка</w:t>
      </w:r>
    </w:p>
    <w:p>
      <w:pPr>
        <w:pStyle w:val="Heading2"/>
        <w:keepNext/>
      </w:pPr>
      <w:r>
        <w:t>10.1. Почему random split недопустим</w:t>
      </w:r>
    </w:p>
    <w:p>
      <w:r>
        <w:t>Финансовые наблюдения зависимы во времени, а метки с горизонтом 4–12 часов перекрываются. Random split переносит близкие и частично общие будущие пути в train и test. Нужны последовательные окна, purging наблюдений с пересекающимися label intervals и embargo вокруг границ.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Train window ───────────────┐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         │ purge overlap</w:t>
            </w:r>
            <w:r>
              <w:br/>
            </w:r>
            <w:r>
              <w:rPr>
                <w:rFonts w:ascii="Courier New" w:hAnsi="Courier New"/>
                <w:sz w:val="17"/>
              </w:rPr>
              <w:t>Calibration window ──────────────┤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         │ embargo</w:t>
            </w:r>
            <w:r>
              <w:br/>
            </w:r>
            <w:r>
              <w:rPr>
                <w:rFonts w:ascii="Courier New" w:hAnsi="Courier New"/>
                <w:sz w:val="17"/>
              </w:rPr>
              <w:t>Test window ──────────────────────┘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>Сдвиг окна вперед → повторение → только затем агрегирование OOS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10.2. Рекомендуемая схема</w:t>
      </w:r>
    </w:p>
    <w:p>
      <w:pPr>
        <w:pStyle w:val="ListNumber"/>
        <w:spacing w:after="40"/>
      </w:pPr>
      <w:r>
        <w:t>Зафиксировать final holdout, к которому не обращаться при выборе признаков, барьеров и thresholds.</w:t>
      </w:r>
    </w:p>
    <w:p>
      <w:pPr>
        <w:pStyle w:val="ListNumber"/>
        <w:spacing w:after="40"/>
      </w:pPr>
      <w:r>
        <w:t>Внутри development period использовать expanding/rolling walk-forward.</w:t>
      </w:r>
    </w:p>
    <w:p>
      <w:pPr>
        <w:pStyle w:val="ListNumber"/>
        <w:spacing w:after="40"/>
      </w:pPr>
      <w:r>
        <w:t>В каждом fold отдельно fit preprocessing, model и probability calibration.</w:t>
      </w:r>
    </w:p>
    <w:p>
      <w:pPr>
        <w:pStyle w:val="ListNumber"/>
        <w:spacing w:after="40"/>
      </w:pPr>
      <w:r>
        <w:t>Собирать только out-of-fold predictions и прогонять через один event-driven portfolio simulator.</w:t>
      </w:r>
    </w:p>
    <w:p>
      <w:pPr>
        <w:pStyle w:val="ListNumber"/>
        <w:spacing w:after="40"/>
      </w:pPr>
      <w:r>
        <w:t>После выбора единственной спецификации один раз оценить final holdout.</w:t>
      </w:r>
    </w:p>
    <w:p>
      <w:pPr>
        <w:pStyle w:val="ListNumber"/>
        <w:spacing w:after="40"/>
      </w:pPr>
      <w:r>
        <w:t>Далее перейти к paper/shadow forward test; исторический holdout не заменяет forward evidence.</w:t>
      </w:r>
    </w:p>
    <w:p>
      <w:pPr>
        <w:pStyle w:val="Heading2"/>
        <w:keepNext/>
      </w:pPr>
      <w:r>
        <w:t>10.3. Event-driven backtest</w:t>
      </w:r>
    </w:p>
    <w:p>
      <w:pPr>
        <w:pStyle w:val="ListBullet"/>
        <w:spacing w:after="40"/>
      </w:pPr>
      <w:r>
        <w:t>Решение формируется после закрытия свечи и заданной operational delay, а не по ее close с нулевой задержкой.</w:t>
      </w:r>
    </w:p>
    <w:p>
      <w:pPr>
        <w:pStyle w:val="ListBullet"/>
        <w:spacing w:after="40"/>
      </w:pPr>
      <w:r>
        <w:t>Entry-zone может не исполниться; no-fill является полноценным исходом.</w:t>
      </w:r>
    </w:p>
    <w:p>
      <w:pPr>
        <w:pStyle w:val="ListBullet"/>
        <w:spacing w:after="40"/>
      </w:pPr>
      <w:r>
        <w:t>Учитываются частичные fills, tick/qty rounding, min notional, margin limits и simultaneous positions.</w:t>
      </w:r>
    </w:p>
    <w:p>
      <w:pPr>
        <w:pStyle w:val="ListBullet"/>
        <w:spacing w:after="40"/>
      </w:pPr>
      <w:r>
        <w:t>При неоднозначности внутрисвечного пути используется lower timeframe или worst-case правило.</w:t>
      </w:r>
    </w:p>
    <w:p>
      <w:pPr>
        <w:pStyle w:val="ListBullet"/>
        <w:spacing w:after="40"/>
      </w:pPr>
      <w:r>
        <w:t>Funding применяется по реальным settlement timestamps конкретного symbol.</w:t>
      </w:r>
    </w:p>
    <w:p>
      <w:pPr>
        <w:pStyle w:val="ListBullet"/>
        <w:spacing w:after="40"/>
      </w:pPr>
      <w:r>
        <w:t>Фактические решения оператора симулируются отдельным слоем задержки и acceptance policy; затем этот слой калибруется по журналу.</w:t>
      </w:r>
    </w:p>
    <w:p>
      <w:pPr>
        <w:pStyle w:val="Heading2"/>
        <w:keepNext/>
      </w:pPr>
      <w:r>
        <w:t>10.4. Метрики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09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708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Метрики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Прогноз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Brier score, log loss, calibration curve, class/conditional recall, rank correlation.</w:t>
            </w:r>
          </w:p>
        </w:tc>
      </w:tr>
      <w:tr>
        <w:trPr>
          <w:cantSplit/>
        </w:trPr>
        <w:tc>
          <w:tcPr>
            <w:tcW w:type="dxa" w:w="209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Сделка</w:t>
            </w:r>
          </w:p>
        </w:tc>
        <w:tc>
          <w:tcPr>
            <w:tcW w:type="dxa" w:w="708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Net EV/trade, win rate, average win/loss, net R/R distribution, no-fill rate, turnover.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Портфель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Net P&amp;L, profit factor, maximum drawdown, Calmar, Sharpe/Sortino с оговорками, tail loss, exposure.</w:t>
            </w:r>
          </w:p>
        </w:tc>
      </w:tr>
      <w:tr>
        <w:trPr>
          <w:cantSplit/>
        </w:trPr>
        <w:tc>
          <w:tcPr>
            <w:tcW w:type="dxa" w:w="209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Издержки</w:t>
            </w:r>
          </w:p>
        </w:tc>
        <w:tc>
          <w:tcPr>
            <w:tcW w:type="dxa" w:w="708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Cost/gross-profit ratio, fee/slippage/funding decomposition, realized-vs-expected slippage.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Стабильность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По времени, liquidity tier, symbol, LONG/SHORT, horizon, market regime, confidence bins.</w:t>
            </w:r>
          </w:p>
        </w:tc>
      </w:tr>
      <w:tr>
        <w:trPr>
          <w:cantSplit/>
        </w:trPr>
        <w:tc>
          <w:tcPr>
            <w:tcW w:type="dxa" w:w="209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Статистическая честность</w:t>
            </w:r>
          </w:p>
        </w:tc>
        <w:tc>
          <w:tcPr>
            <w:tcW w:type="dxa" w:w="708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Число испытанных спецификаций, Probability of Backtest Overfitting, Deflated Sharpe Ratio, sensitivity tests [18–19].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10.5. Основные эконометрические угрозы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Угроза</w:t>
            </w:r>
          </w:p>
        </w:tc>
        <w:tc>
          <w:tcPr>
            <w:tcW w:type="dxa" w:w="691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Защита/интерпретация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Look-ahead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Будущие значения свечи, revised metadata, future universe, normalization по всей выборке.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Survivorship/listing bias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Использование сегодняшних монет и игнорирование delisted/неуспешных контрактов.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Label overlap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Общие будущие часы у соседних наблюдений.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Cross-sectional dependence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Монеты движутся общим фактором; количество строк завышает эффективный размер выборки.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Multiple testing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Перебор горизонтов, features, thresholds и barriers создает ложного победителя.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Regime selection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Стратегия может жить только в одном bull/bear периоде.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Cost misspecification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Нереалистичный maker fill, отсутствие no-fill, низкое slippage, фиксированный funding.</w:t>
            </w:r>
          </w:p>
        </w:tc>
      </w:tr>
      <w:tr>
        <w:trPr>
          <w:cantSplit/>
        </w:trPr>
        <w:tc>
          <w:tcPr>
            <w:tcW w:type="dxa" w:w="226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Operator selection bias</w:t>
            </w:r>
          </w:p>
        </w:tc>
        <w:tc>
          <w:tcPr>
            <w:tcW w:type="dxa" w:w="691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Оператор выбирает только «симпатичные» сигналы; результат принятых сделок нельзя приписывать модели без counterfactual журнала.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10.6. Stress testing</w:t>
      </w:r>
    </w:p>
    <w:p>
      <w:pPr>
        <w:pStyle w:val="ListBullet"/>
        <w:spacing w:after="40"/>
      </w:pPr>
      <w:r>
        <w:t>Комиссии и slippage ×1.5 и ×2.</w:t>
      </w:r>
    </w:p>
    <w:p>
      <w:pPr>
        <w:pStyle w:val="ListBullet"/>
        <w:spacing w:after="40"/>
      </w:pPr>
      <w:r>
        <w:t>Задержка оператора 1, 3, 5, 10 и 20 минут.</w:t>
      </w:r>
    </w:p>
    <w:p>
      <w:pPr>
        <w:pStyle w:val="ListBullet"/>
        <w:spacing w:after="40"/>
      </w:pPr>
      <w:r>
        <w:t>Entry по худшей границе зоны; stop fill хуже расчетного.</w:t>
      </w:r>
    </w:p>
    <w:p>
      <w:pPr>
        <w:pStyle w:val="ListBullet"/>
        <w:spacing w:after="40"/>
      </w:pPr>
      <w:r>
        <w:t>Funding shock и неожиданное пересечение settlement.</w:t>
      </w:r>
    </w:p>
    <w:p>
      <w:pPr>
        <w:pStyle w:val="ListBullet"/>
        <w:spacing w:after="40"/>
      </w:pPr>
      <w:r>
        <w:t>Удаление лучших 5–10 сделок и лучших 1–2 монет.</w:t>
      </w:r>
    </w:p>
    <w:p>
      <w:pPr>
        <w:pStyle w:val="ListBullet"/>
        <w:spacing w:after="40"/>
      </w:pPr>
      <w:r>
        <w:t>Отключение одного feature family.</w:t>
      </w:r>
    </w:p>
    <w:p>
      <w:pPr>
        <w:pStyle w:val="ListBullet"/>
        <w:spacing w:after="40"/>
      </w:pPr>
      <w:r>
        <w:t>Отдельные периоды экстремальной волатильности и API lag.</w:t>
      </w:r>
    </w:p>
    <w:p>
      <w:pPr>
        <w:pStyle w:val="Heading1"/>
        <w:keepNext/>
      </w:pPr>
      <w:r>
        <w:t>11. Архитектура FastAPI/PostgreSQL/HTML/CSS/Vanilla JS</w:t>
      </w:r>
    </w:p>
    <w:p>
      <w:pPr>
        <w:pStyle w:val="Heading2"/>
        <w:keepNext/>
      </w:pPr>
      <w:r>
        <w:t>11.1. Зафиксированное техническое решение</w:t>
      </w:r>
    </w:p>
    <w:p>
      <w:r>
        <w:rPr>
          <w:b/>
        </w:rPr>
        <w:t xml:space="preserve">Ключевой принцип. </w:t>
      </w:r>
      <w:r>
        <w:t>FastAPI является постоянным backend/API-слоем, а PostgreSQL — единственным источником истины для всех структурированных данных. Режим запуска не меняет технологический стек: development, backtest, paper, shadow, test и production используют PostgreSQL. При недоступной базе приложение не переходит на упрощенное хранилище, а завершается в fail-closed режиме с диагностикой.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8"/>
              </w:rPr>
              <w:t>FastAPI отвечает за контракт API, валидацию, аутентификацию и выдачу данных интерфейсу. Отдельный worker выполняет сбор рынка, расчет признаков, inference и reconciliation. PostgreSQL хранит рынок, версии признаков, прогнозы, рекомендации, решения оператора и audit trail. Длительные вычисления не запускаются как request-bound BackgroundTasks.</w:t>
            </w:r>
          </w:p>
        </w:tc>
      </w:tr>
    </w:tbl>
    <w:p>
      <w:pPr>
        <w:pStyle w:val="Heading2"/>
        <w:keepNext/>
      </w:pPr>
      <w:r>
        <w:t>11.2. Компоненты системы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Модуль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Ответственность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FastAPI API service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Versioned REST API, Pydantic-валидация, operator actions, health/readiness, SSE или polling, раздача статического Vanilla JS интерфейса.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Uvicorn ASGI server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Запуск FastAPI. В локальном режиме — один процесс; при удаленном размещении — управляемый запуск через systemd или контейнерный runtime.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Market-data worker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REST/WebSocket клиенты Bybit, rate limiting, retries, server-time synchronization, проверка confirm=true и idempotent ingestion.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Hourly inference worker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Фиксация cutoff, загрузка согласованного snapshot, признаки, ML inference, cost/risk/policy, публикация recommendation.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Training/backtest CLI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Walk-forward, purging/embargo, calibration, model registry, final holdout. Это отдельный процесс, а не HTTP request.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Единый источник истины для specs, market data, features, labels, predictions, recommendations, audit, job state и operator journal.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SQLAlchemy 2.x + psycopg 3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Типизированный доступ к PostgreSQL; AsyncSession на один request/job unit of work, без совместного использования session между конкурентными задачами.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Alembic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Версионирование схемы, обязательная проверка актуальности migration head перед запуском API/worker.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Cost and risk engine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Fees, executable prices, funding scenarios, stress slippage, position sizing, liquidation buffer, portfolio constraints.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Operator UI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HTML/CSS/Vanilla JS: плитки, детальная карточка, журнал, фильтры, предупреждения, ручная регистрация исполнения.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Monitoring and backups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Structured logs, job_runs, data-quality issues, PostgreSQL health, pg_dump, restore test и при необходимости WAL/PITR.</w:t>
            </w:r>
          </w:p>
        </w:tc>
      </w:tr>
    </w:tbl>
    <w:p>
      <w:pPr>
        <w:pStyle w:val="Heading2"/>
        <w:keepNext/>
      </w:pPr>
      <w:r>
        <w:t>11.3. Роль FastAPI</w:t>
      </w:r>
    </w:p>
    <w:p>
      <w:pPr>
        <w:pStyle w:val="ListBullet"/>
      </w:pPr>
      <w:r>
        <w:t>Маршруты разделяются через APIRouter по областям: status, recommendations, trades, portfolio, model, admin и events.</w:t>
      </w:r>
    </w:p>
    <w:p>
      <w:pPr>
        <w:pStyle w:val="ListBullet"/>
      </w:pPr>
      <w:r>
        <w:t>Pydantic-модели являются внешним контрактом. ORM-объекты не возвращаются браузеру напрямую; это предотвращает случайную утечку служебных полей.</w:t>
      </w:r>
    </w:p>
    <w:p>
      <w:pPr>
        <w:pStyle w:val="ListBullet"/>
      </w:pPr>
      <w:r>
        <w:t>Dependency injection предоставляет request-scoped AsyncSession, текущего оператора, конфигурацию и idempotency context.</w:t>
      </w:r>
    </w:p>
    <w:p>
      <w:pPr>
        <w:pStyle w:val="ListBullet"/>
      </w:pPr>
      <w:r>
        <w:t>FastAPI lifespan используется для проверки подключения к PostgreSQL, migration head, загрузки активной модели и корректного закрытия пула.</w:t>
      </w:r>
    </w:p>
    <w:p>
      <w:pPr>
        <w:pStyle w:val="ListBullet"/>
      </w:pPr>
      <w:r>
        <w:t>OpenAPI полезен для разработки и интеграционных тестов; при внешнем размещении docs endpoints ограничиваются аутентификацией или отключаются.</w:t>
      </w:r>
    </w:p>
    <w:p>
      <w:pPr>
        <w:pStyle w:val="ListBullet"/>
      </w:pPr>
      <w:r>
        <w:t>FastAPI BackgroundTasks не используется для часового inference, обучения или загрузки рынка: такие задания должны переживать HTTP disconnect и выполняются отдельным worker-процессом.</w:t>
      </w:r>
    </w:p>
    <w:p>
      <w:pPr>
        <w:pStyle w:val="Heading2"/>
        <w:keepNext/>
      </w:pPr>
      <w:r>
        <w:t>11.4. PostgreSQL обязателен во всех режимах</w:t>
      </w:r>
    </w:p>
    <w:p>
      <w:r>
        <w:t>Отказ от SQLite является логичным для этого проекта. Система зависит от конкурентных транзакций, строгих уникальных ограничений, server-side locking, единообразных типов и воспроизводимого поведения между research и production. Использование одной СУБД устраняет класс расхождений, когда локальные тесты проходят на SQLite, а реальная схема, SQL и блокировки ведут себя иначе в PostgreSQL.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Режим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PostgreSQL-размещение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Правило изоляции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Development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Локальный PostgreSQL через Docker Compose или установленный сервис.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Отдельная БД cost_momentum_dev; допустима перезагрузка тестовых данных.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Backtest / research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Отдельная БД или отдельный кластер с увеличенным storage.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Никогда не пишет в advisory/production database; dataset snapshots versioned.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Paper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PostgreSQL paper database.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Реальные market data, виртуальные сделки, отдельные роли и audit.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Shadow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PostgreSQL shadow database.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Live recommendations и решения оператора без размещения ордеров.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Production advisory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Выделенная production database с backup/restore policy.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Строгие роли, миграции, immutable audit, запрет destructive SQL для app roles.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Automated tests / CI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Ephemeral PostgreSQL service/container.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Каждый test run получает чистую БД; SQLite in-memory не используется.</w:t>
            </w:r>
          </w:p>
        </w:tc>
      </w:tr>
    </w:tbl>
    <w:p>
      <w:pPr>
        <w:pStyle w:val="ListBullet"/>
      </w:pPr>
      <w:r>
        <w:t>DATABASE_URL обязателен. Если соединение отсутствует, schema revision не соответствует ожидаемой или clock skew превышает лимит, readiness=false и рекомендации не публикуются.</w:t>
      </w:r>
    </w:p>
    <w:p>
      <w:pPr>
        <w:pStyle w:val="ListBullet"/>
      </w:pPr>
      <w:r>
        <w:t>Среды предпочтительно разделять разными базами или кластерами, а не только значением app_mode в одной таблице.</w:t>
      </w:r>
    </w:p>
    <w:p>
      <w:pPr>
        <w:pStyle w:val="ListBullet"/>
      </w:pPr>
      <w:r>
        <w:t>Все DDL-изменения проходят через Alembic. Автоматический create_all разрешен только в одноразовых developer utilities, но не при штатном запуске.</w:t>
      </w:r>
    </w:p>
    <w:p>
      <w:pPr>
        <w:pStyle w:val="ListBullet"/>
      </w:pPr>
      <w:r>
        <w:t>Модельные файлы joblib/ONNX могут храниться на диске или в object storage, но registry, hash, training window, feature schema и active flag хранятся в PostgreSQL.</w:t>
      </w:r>
    </w:p>
    <w:p>
      <w:pPr>
        <w:pStyle w:val="Heading2"/>
        <w:keepNext/>
      </w:pPr>
      <w:r>
        <w:t>11.5. Логическая схема PostgreSQL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Schema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Основные таблицы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reference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instruments, instrument_spec_history, fee_rate_snapshots, risk_limits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Point-in-time справочники Bybit; никакого перезаписывания истории спецификаций.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market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candles, mark_candles, index_candles, funding, open_interest, ticker_snapshots, liquidity_snapshots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Рыночные факты с event_time, available_at, source и ingestion_run_id.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research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feature_schemas, feature_vectors, labels, dataset_snapshots, backtest_runs, fold_metrics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Воспроизводимость признаков, меток и эконометрических экспериментов.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model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model_registry, calibration_registry, model_metrics, model_activation_events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Версии моделей, hashes, артефакты, окна обучения и смена active model.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advisory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recommendations, recommendation_levels, operator_decisions, manual_trades, fills, position_snapshots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Жизненный цикл рекомендации и фактическое ручное исполнение.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audit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events, data_quality_issues, policy_decisions, reconciliation_events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Append-only объяснимость и расследование каждого решения.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ops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job_runs, scheduler_state, service_heartbeats, idempotency_keys, outbox_events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Операционное состояние, дедупликация и надежная доставка событий.</w:t>
            </w:r>
          </w:p>
        </w:tc>
      </w:tr>
    </w:tbl>
    <w:p>
      <w:pPr/>
      <w:r>
        <w:t>Типы данных и индексы:</w:t>
      </w:r>
    </w:p>
    <w:p>
      <w:pPr>
        <w:pStyle w:val="ListBullet"/>
      </w:pPr>
      <w:r>
        <w:t>Время: TIMESTAMPTZ, хранение в UTC; event_time и available_at разделены, чтобы исключить look-ahead.</w:t>
      </w:r>
    </w:p>
    <w:p>
      <w:pPr>
        <w:pStyle w:val="ListBullet"/>
      </w:pPr>
      <w:r>
        <w:t>Цена, количество, комиссии и денежные значения: NUMERIC с достаточной точностью; вероятности, доходности и ML-features: DOUBLE PRECISION.</w:t>
      </w:r>
    </w:p>
    <w:p>
      <w:pPr>
        <w:pStyle w:val="ListBullet"/>
      </w:pPr>
      <w:r>
        <w:t>JSONB применяется для объяснений, конфигурационных snapshots и редко меняющихся metadata, но не заменяет типизированные колонки для основных цен, статусов и риск-показателей.</w:t>
      </w:r>
    </w:p>
    <w:p>
      <w:pPr>
        <w:pStyle w:val="ListBullet"/>
      </w:pPr>
      <w:r>
        <w:t>Уникальные ограничения: например (symbol, interval, open_time, price_type) для свечей и natural idempotency key для recommendation.</w:t>
      </w:r>
    </w:p>
    <w:p>
      <w:pPr>
        <w:pStyle w:val="ListBullet"/>
      </w:pPr>
      <w:r>
        <w:t>B-tree индексы обслуживают symbol/time и active-status запросы. BRIN уместен для очень больших, физически упорядоченных по времени таблиц.</w:t>
      </w:r>
    </w:p>
    <w:p>
      <w:pPr>
        <w:pStyle w:val="ListBullet"/>
      </w:pPr>
      <w:r>
        <w:t>Декларативное monthly partitioning нужно прежде всего для 1m data, orderbook/liquidity snapshots и крупных audit logs. Часовые свечи на десятках монет не требуют партиционирования с первого дня.</w:t>
      </w:r>
    </w:p>
    <w:p>
      <w:pPr>
        <w:pStyle w:val="Heading2"/>
        <w:keepNext/>
      </w:pPr>
      <w:r>
        <w:t>11.6. Транзакционность, дедупликация и конкурентный запуск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Операция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Гарантия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Market ingestion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INSERT ... ON CONFLICT с уникальным ключом; повтор API response не создает дубликат и не меняет уже подтвержденный факт без явной revision policy.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Hourly run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Transaction-level PostgreSQL advisory lock на (job_name, event_time) исключает параллельную публикацию одного и того же часа несколькими worker.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Consistent inputs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Inference фиксирует cutoff и читает данные в согласованном snapshot; любые inputs с available_at после cutoff запрещены.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Recommendation publish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Recommendation, levels, cost breakdown, policy decision и audit event фиксируются одной транзакцией.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Operator action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State transition проверяется под row lock; ACCEPTED нельзя повторно превратить в другое состояние без отдельного correction event.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Idempotent POST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Клиент передает Idempotency-Key; повторный запрос возвращает прежний результат и не дублирует decision/fill.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UI events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Outbox table является durable source; LISTEN/NOTIFY или SSE только ускоряют доставку, но не заменяют чтение состояния из таблиц.</w:t>
            </w:r>
          </w:p>
        </w:tc>
      </w:tr>
    </w:tbl>
    <w:p>
      <w:pPr>
        <w:pStyle w:val="Heading2"/>
        <w:keepNext/>
      </w:pPr>
      <w:r>
        <w:t>11.7. Процессная модель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onsolas" w:hAnsi="Consolas" w:eastAsia="Consolas"/>
                <w:sz w:val="16"/>
              </w:rPr>
              <w:t>docker-compose / systemd</w:t>
              <w:br/>
              <w:t>├── postgres       # обязательная СУБД во всех режимах</w:t>
              <w:br/>
              <w:t>├── api            # FastAPI + Uvicorn, UI и versioned REST/SSE</w:t>
              <w:br/>
              <w:t>├── worker         # collectors + hourly inference + reconciliation</w:t>
              <w:br/>
              <w:t>├── trainer        # запускается по расписанию/команде, не обслуживает HTTP</w:t>
              <w:br/>
              <w:t>└── migrate        # alembic upgrade head перед release</w:t>
              <w:br/>
              <w:br/>
              <w:t>API  ───────┐</w:t>
              <w:br/>
              <w:t>Worker ─────┼──&gt; PostgreSQL &lt;── Trainer / Backtest</w:t>
              <w:br/>
              <w:t>UI &lt;────────┘          │</w:t>
              <w:br/>
              <w:t xml:space="preserve">                 backup / restore</w:t>
            </w:r>
          </w:p>
        </w:tc>
      </w:tr>
    </w:tbl>
    <w:p>
      <w:r>
        <w:t>На первом этапе Celery и Redis не обязательны. Один или несколько worker-процессов с PostgreSQL advisory locks и таблицей job_runs обеспечивают достаточную надежность для часового цикла. Отдельный брокер имеет смысл только при существенном росте числа независимых задач или горизонтальном масштабировании.</w:t>
      </w:r>
    </w:p>
    <w:p>
      <w:pPr>
        <w:pStyle w:val="Heading2"/>
        <w:keepNext/>
      </w:pPr>
      <w:r>
        <w:t>11.8. Безопасность и права доступа</w:t>
      </w:r>
    </w:p>
    <w:p>
      <w:pPr>
        <w:pStyle w:val="ListBullet"/>
      </w:pPr>
      <w:r>
        <w:t>По умолчанию Uvicorn bind на 127.0.0.1. Доступ из LAN/Internet — только через TLS reverse proxy и аутентификацию.</w:t>
      </w:r>
    </w:p>
    <w:p>
      <w:pPr>
        <w:pStyle w:val="ListBullet"/>
      </w:pPr>
      <w:r>
        <w:t>Раздельные PostgreSQL roles: migrator (DDL), api (ограниченный read/write advisory), worker (market/research writes), readonly/reporting. App roles не имеют DROP/TRUNCATE и не могут изменять append-only audit.</w:t>
      </w:r>
    </w:p>
    <w:p>
      <w:pPr>
        <w:pStyle w:val="ListBullet"/>
      </w:pPr>
      <w:r>
        <w:t>Bybit secret никогда не попадает в браузер, JavaScript, API response или database audit. Для advisory-версии используется read-only key без права размещать ордера.</w:t>
      </w:r>
    </w:p>
    <w:p>
      <w:pPr>
        <w:pStyle w:val="ListBullet"/>
      </w:pPr>
      <w:r>
        <w:t>Operator session — HttpOnly/Secure/SameSite cookie или локальная token-сессия; изменяющие POST требуют CSRF-защиты и Idempotency-Key.</w:t>
      </w:r>
    </w:p>
    <w:p>
      <w:pPr>
        <w:pStyle w:val="ListBullet"/>
      </w:pPr>
      <w:r>
        <w:t>Secrets передаются через environment/secret store. DATABASE_URL и API credentials не записываются в логи.</w:t>
      </w:r>
    </w:p>
    <w:p>
      <w:pPr>
        <w:pStyle w:val="ListBullet"/>
      </w:pPr>
      <w:r>
        <w:t>Backup считается существующим только после регулярного restore test. Для production advisory — pg_dump с retention; при росте критичности добавляется WAL archiving/PITR.</w:t>
      </w:r>
    </w:p>
    <w:p>
      <w:pPr>
        <w:pStyle w:val="Heading2"/>
        <w:keepNext/>
      </w:pPr>
      <w:r>
        <w:t>11.9. Структура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 w:eastAsia="Consolas"/>
                <w:sz w:val="15"/>
              </w:rPr>
              <w:t>cost_aware_momentum/</w:t>
              <w:br/>
              <w:t>├── pyproject.toml</w:t>
              <w:br/>
              <w:t>├── docker-compose.yml</w:t>
              <w:br/>
              <w:t>├── .env.example</w:t>
              <w:br/>
              <w:t>├── alembic.ini</w:t>
              <w:br/>
              <w:t>├── migrations/</w:t>
              <w:br/>
              <w:t>├── app/</w:t>
              <w:br/>
              <w:t>│   ├── main.py                 # FastAPI factory + lifespan</w:t>
              <w:br/>
              <w:t>│   ├── config.py               # typed settings</w:t>
              <w:br/>
              <w:t>│   ├── api/</w:t>
              <w:br/>
              <w:t>│   │   ├── deps.py</w:t>
              <w:br/>
              <w:t>│   │   └── v1/</w:t>
              <w:br/>
              <w:t>│   │       ├── status.py</w:t>
              <w:br/>
              <w:t>│   │       ├── recommendations.py</w:t>
              <w:br/>
              <w:t>│   │       ├── trades.py</w:t>
              <w:br/>
              <w:t>│   │       ├── portfolio.py</w:t>
              <w:br/>
              <w:t>│   │       └── events.py</w:t>
              <w:br/>
              <w:t>│   ├── db/</w:t>
              <w:br/>
              <w:t>│   │   ├── engine.py           # async engine / session factory</w:t>
              <w:br/>
              <w:t>│   │   ├── models/</w:t>
              <w:br/>
              <w:t>│   │   ├── repositories/</w:t>
              <w:br/>
              <w:t>│   │   └── uow.py</w:t>
              <w:br/>
              <w:t>│   ├── bybit/</w:t>
              <w:br/>
              <w:t>│   ├── data/</w:t>
              <w:br/>
              <w:t>│   ├── features/</w:t>
              <w:br/>
              <w:t>│   ├── ml/</w:t>
              <w:br/>
              <w:t>│   ├── strategy/</w:t>
              <w:br/>
              <w:t>│   ├── risk/</w:t>
              <w:br/>
              <w:t>│   ├── services/</w:t>
              <w:br/>
              <w:t>│   └── workers/</w:t>
              <w:br/>
              <w:t>├── web/</w:t>
              <w:br/>
              <w:t>│   ├── index.html</w:t>
              <w:br/>
              <w:t>│   ├── css/</w:t>
              <w:br/>
              <w:t>│   └── js/</w:t>
              <w:br/>
              <w:t>├── models/                     # immutable artifacts; hashes in PostgreSQL</w:t>
              <w:br/>
              <w:t>├── scripts/</w:t>
              <w:br/>
              <w:t>│   ├── run_worker.py</w:t>
              <w:br/>
              <w:t>│   ├── train.py</w:t>
              <w:br/>
              <w:t>│   ├── backtest.py</w:t>
              <w:br/>
              <w:t>│   └── backup_restore_check.py</w:t>
              <w:br/>
              <w:t>├── reports/</w:t>
              <w:br/>
              <w:t>└── tests/</w:t>
              <w:br/>
              <w:t xml:space="preserve">    ├── unit/</w:t>
              <w:br/>
              <w:t xml:space="preserve">    ├── integration_postgres/</w:t>
              <w:br/>
              <w:t xml:space="preserve">    └── e2e/</w:t>
            </w:r>
          </w:p>
        </w:tc>
      </w:tr>
    </w:tbl>
    <w:p>
      <w:pPr>
        <w:pStyle w:val="Heading2"/>
        <w:keepNext/>
      </w:pPr>
      <w:r>
        <w:t>11.10. API интерфейса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after="0" w:before="0"/>
            </w:pPr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GET /health/live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Процесс Uvicorn/FastAPI жив; не гарантирует готовность данных.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GET /health/ready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PostgreSQL доступен, migration head актуален, active model загружена, обязательные workers не stale.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GET /api/v1/status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Collectors, scheduler, model versions, last successful run, data-quality blocks.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GET /api/v1/recommendations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Текущие плитки с фильтрами и сортировкой по net utility.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GET /api/v1/recommendations/{id}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Полная карточка, costs, risk, explanations и audit summary.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GET /api/v1/symbols/{symbol}/chart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Подготовленные серии для Canvas/SVG.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GET /api/v1/portfolio/risk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Open risk, clusters, available margin, blocks.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GET /api/v1/events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SSE stream или long polling; клиент после reconnect выполняет catch-up из PostgreSQL.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 /api/v1/recommendations/{id}/accept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Решение оператора; Idempotency-Key обязателен; ордер не размещается.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 /api/v1/recommendations/{id}/reject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Причина отклонения; сохраняется как отдельное audit event.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 /api/v1/trades/manual-entry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Фактические entry/qty/leverage/time; server-side validation против specs.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 /api/v1/trades/{id}/close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Фактические partial/full fills, fees, funding и reconciliation.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 /api/v1/admin/recalculate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Безопасный повторный расчет с operator role; не перезаписывает старую рекомендацию, а создает новую version/event.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11.11. Данные профилей капитала и словаря интерфейса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Таблица PostgreSQL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Ключевые поля и назначение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capital_profiles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id, user_id, name, mode, allocated_capital, risk_policy_id, source_account_id, active, version, timestamps.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account_equity_snapshots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account_id, equity, available_margin, day_start_equity, source_time, received_at, quality flags.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market_signals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Capital-independent прогноз и торговые уровни. Один сигнал может иметь несколько execution plans.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execution_plans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signal_id, profile_id/version, sizing inputs, caps, qty/notional/margin, executability status, warnings, version.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ui_glossary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help_key, locale, short_text, long_text, version, valid_from, active. Seed-данные создаются миграцией Alembic.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operator_preferences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Активный profile_id, locale, tooltip mode, compact/expanded view; не содержит торговых секретов.</w:t>
            </w:r>
          </w:p>
        </w:tc>
      </w:tr>
    </w:tbl>
    <w:p>
      <w:pPr/>
      <w:r>
        <w:rPr>
          <w:b w:val="0"/>
          <w:i w:val="0"/>
        </w:rPr>
        <w:t>Минимальные endpoints: GET/POST/PATCH /api/capital-profiles; POST /api/capital-profiles/{id}/activate; GET /api/ui/glossary?locale=ru; GET /api/recommendations?profile_id=...; POST /api/recommendations/{id}/recalculate-plan. Изменение профиля публикует SSE-событие и атомарно создает новые execution-plan versions.</w:t>
      </w:r>
    </w:p>
    <w:p>
      <w:pPr>
        <w:pStyle w:val="Heading1"/>
        <w:keepNext/>
      </w:pPr>
      <w:r>
        <w:t>12. Жизненный цикл рекомендации</w:t>
      </w:r>
    </w:p>
    <w:p>
      <w:pPr>
        <w:pStyle w:val="Heading2"/>
        <w:keepNext/>
      </w:pPr>
      <w:r>
        <w:rPr>
          <w:b w:val="0"/>
          <w:i w:val="0"/>
        </w:rPr>
        <w:t>12.1. Два связанных жизненных цикла</w:t>
      </w:r>
    </w:p>
    <w:p>
      <w:pPr/>
      <w:r>
        <w:rPr>
          <w:b w:val="0"/>
          <w:i w:val="0"/>
        </w:rPr>
        <w:t>Чтобы корректно работать с разными капиталами, система хранит отдельно market signal и execution plan. Это предотвращает ложный вывод, будто один и тот же прогноз стал лучше или хуже после смены размера счета.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Пример состояний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Market signal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CANDIDATE → PUBLISHED → EXPIRED / INVALIDATED. Не зависит от профиля капитала.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Execution plan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CALCULATED → ACTIONABLE / LIMITED / BLOCKED_* → VIEWED → ACCEPTED / REJECTED → ENTERED → CLOSED. Зависит от capital profile и account snapshot.</w:t>
            </w:r>
          </w:p>
        </w:tc>
      </w:tr>
    </w:tbl>
    <w:p>
      <w:pPr/>
      <w:r>
        <w:rPr>
          <w:b w:val="0"/>
          <w:i w:val="0"/>
        </w:rPr>
        <w:t>Смена профиля не создает новый market signal, а создает новую version execution plan. Принятие оператором всегда относится к конкретным signal_id, plan_id и plan_version.</w:t>
      </w:r>
    </w:p>
    <w:p>
      <w:pPr>
        <w:pStyle w:val="Heading2"/>
        <w:keepNext/>
      </w:pPr>
      <w:r>
        <w:rPr>
          <w:b w:val="0"/>
          <w:i w:val="0"/>
        </w:rPr>
        <w:t>12.2. Повторная проверка перед принятием</w:t>
      </w:r>
    </w:p>
    <w:p>
      <w:pPr/>
      <w:r>
        <w:rPr>
          <w:b w:val="0"/>
          <w:i w:val="0"/>
        </w:rPr>
        <w:t>Перед переходом ACCEPTED система в одной транзакции проверяет: expires_at, текущую цену и entry-zone, свежесть market/account data, profile version, equity/available margin, min order, portfolio caps и отсутствие уже принятого конфликтующего плана. При изменении входных данных оператор получает новый расчет, а старый план становится SUPERSEDED.</w:t>
      </w:r>
    </w:p>
    <w:p>
      <w:pPr>
        <w:pStyle w:val="Heading2"/>
        <w:keepNext/>
      </w:pPr>
      <w:r>
        <w:rPr>
          <w:b w:val="0"/>
          <w:i w:val="0"/>
        </w:rPr>
        <w:t>12.3. Audit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Что сохраняется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Сигнал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model/data versions, probabilities, entry/SL/TP, costs, horizon, reasons, event/publish/expiry times.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Капитал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profile/version, source mode, allocated/effective/equity/day-start capital, snapshot timestamp, verification flag.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Sizing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risk policy, d_stress, all caps, qty before/after rounding, notional, margin estimate, actual stress loss, leverage.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glossary version, shown warnings, view timestamp, active profile at decision time.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Оператор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accept/reject reason, actual order/fills, deviations from suggested plan, close outcome.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Counterfactual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Outcome исходного market signal и каждой execution-plan version независимо от решения оператора.</w:t>
            </w:r>
          </w:p>
        </w:tc>
      </w:tr>
    </w:tbl>
    <w:p>
      <w:pPr>
        <w:pStyle w:val="Heading1"/>
        <w:keepNext/>
      </w:pPr>
      <w:r>
        <w:t>13. План разработки и критерии готовности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6803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Phase 0 — Specification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Data contract, risk policy, UI schema, event model, no-order security boundary.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Phase 1 — Data foundation</w:t>
            </w:r>
          </w:p>
        </w:tc>
        <w:tc>
          <w:tcPr>
            <w:tcW w:type="dxa" w:w="680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PostgreSQL schemas/migrations, historical candles/mark/index/OI/funding, instrument registry, validation, idempotent ingestion и raw provenance.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Phase 2 — Research engine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Labels, features, baselines, walk-forward, cost-aware event backtest.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Phase 3 — Paper dashboard</w:t>
            </w:r>
          </w:p>
        </w:tc>
        <w:tc>
          <w:tcPr>
            <w:tcW w:type="dxa" w:w="680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Tiles, details, virtual entries/exits, recommendation lifecycle, reports.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Phase 4 — Shadow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Live hourly signals, operator observes/records decisions, no real orders.</w:t>
            </w:r>
          </w:p>
        </w:tc>
      </w:tr>
      <w:tr>
        <w:trPr>
          <w:cantSplit/>
        </w:trPr>
        <w:tc>
          <w:tcPr>
            <w:tcW w:type="dxa" w:w="238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Phase 5 — Read-only account</w:t>
            </w:r>
          </w:p>
        </w:tc>
        <w:tc>
          <w:tcPr>
            <w:tcW w:type="dxa" w:w="680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Balance, positions, fee rates, portfolio risk, reconciliation.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Phase 6 — Production advisory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Manual trading with audited recommendation tickets and operational runbooks.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13.1. Production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041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7143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Критерий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Data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Нет необъяснимых gaps/duplicates; specs и funding intervals versioned; stale data автоматически блокирует решения.</w:t>
            </w:r>
          </w:p>
        </w:tc>
      </w:tr>
      <w:tr>
        <w:trPr>
          <w:cantSplit/>
        </w:trPr>
        <w:tc>
          <w:tcPr>
            <w:tcW w:type="dxa" w:w="204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Prediction</w:t>
            </w:r>
          </w:p>
        </w:tc>
        <w:tc>
          <w:tcPr>
            <w:tcW w:type="dxa" w:w="714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Калибровка приемлема и стабильна по времени; baseline сравнение показывает реальную добавочную ценность.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Economics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Положительный net EV на OOS и final holdout; результат переживает cost ×1.5/×2 и operator delays.</w:t>
            </w:r>
          </w:p>
        </w:tc>
      </w:tr>
      <w:tr>
        <w:trPr>
          <w:cantSplit/>
        </w:trPr>
        <w:tc>
          <w:tcPr>
            <w:tcW w:type="dxa" w:w="204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Robustness</w:t>
            </w:r>
          </w:p>
        </w:tc>
        <w:tc>
          <w:tcPr>
            <w:tcW w:type="dxa" w:w="714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Результат не создается одной монетой, одним месяцем, одной стороной или несколькими выбросами.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Statistics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Задокументировано число экспериментов; применены DSR/PBO или эквивалентный контроль data snooping.</w:t>
            </w:r>
          </w:p>
        </w:tc>
      </w:tr>
      <w:tr>
        <w:trPr>
          <w:cantSplit/>
        </w:trPr>
        <w:tc>
          <w:tcPr>
            <w:tcW w:type="dxa" w:w="204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Risk</w:t>
            </w:r>
          </w:p>
        </w:tc>
        <w:tc>
          <w:tcPr>
            <w:tcW w:type="dxa" w:w="714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Позиционные, портфельные, liquidity и liquidation guards протестированы unit/integration tests.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Operations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FastAPI readiness, PostgreSQL migrations, restart/recovery, idempotency, advisory locks, reconciliation, backup/restore test, model rollback и audit export.</w:t>
            </w:r>
          </w:p>
        </w:tc>
      </w:tr>
      <w:tr>
        <w:trPr>
          <w:cantSplit/>
        </w:trPr>
        <w:tc>
          <w:tcPr>
            <w:tcW w:type="dxa" w:w="2041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Forward evidence</w:t>
            </w:r>
          </w:p>
        </w:tc>
        <w:tc>
          <w:tcPr>
            <w:tcW w:type="dxa" w:w="7143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Достаточный shadow/paper период и число сигналов в разных режимах; решение о real trading не принимается по нескольким удачным неделям.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13.2. Что считать «законченным проектом»</w:t>
      </w:r>
    </w:p>
    <w:p>
      <w:pPr>
        <w:pStyle w:val="ListBullet"/>
        <w:spacing w:after="40"/>
      </w:pPr>
      <w:r>
        <w:t>Один command запускает PostgreSQL, FastAPI/Uvicorn, worker и UI; Alembic migration head проверяется до readiness, а состояние полностью восстанавливается из PostgreSQL.</w:t>
      </w:r>
    </w:p>
    <w:p>
      <w:pPr>
        <w:pStyle w:val="ListBullet"/>
        <w:spacing w:after="40"/>
      </w:pPr>
      <w:r>
        <w:t>Есть README, configuration reference, operator manual, incident runbook и model card.</w:t>
      </w:r>
    </w:p>
    <w:p>
      <w:pPr>
        <w:pStyle w:val="ListBullet"/>
      </w:pPr>
      <w:r>
        <w:t>Нет скрытого PostgreSQL fallback: automated tests, backtest, paper и production выполняются на PostgreSQL; backup/restore и migration rollback описаны и проверены.</w:t>
      </w:r>
    </w:p>
    <w:p>
      <w:pPr>
        <w:pStyle w:val="ListBullet"/>
        <w:spacing w:after="40"/>
      </w:pPr>
      <w:r>
        <w:t>Все критические расчеты покрыты unit tests: fees, funding sign, long/short P&amp;L, rounding, risk sizing, barrier order, expiration.</w:t>
      </w:r>
    </w:p>
    <w:p>
      <w:pPr>
        <w:pStyle w:val="ListBullet"/>
        <w:spacing w:after="40"/>
      </w:pPr>
      <w:r>
        <w:t>Есть deterministic replay конкретной рекомендации из audit record.</w:t>
      </w:r>
    </w:p>
    <w:p>
      <w:pPr>
        <w:pStyle w:val="ListBullet"/>
        <w:spacing w:after="40"/>
      </w:pPr>
      <w:r>
        <w:t>Есть ежедневный отчет: signals, accepted/rejected, theoretical/actual P&amp;L, costs, calibration, drift, portfolio risk.</w:t>
      </w:r>
    </w:p>
    <w:p>
      <w:pPr>
        <w:pStyle w:val="ListBullet"/>
        <w:spacing w:after="40"/>
      </w:pPr>
      <w:r>
        <w:t>Система безопасно деградирует в NO TRADE при неполных данных, а не подставляет значения молча.</w:t>
      </w:r>
    </w:p>
    <w:p>
      <w:pPr>
        <w:pStyle w:val="Heading1"/>
        <w:keepNext/>
      </w:pPr>
      <w:r>
        <w:t>14. Риски и ограничения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09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708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Следствие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Alpha risk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Momentum на часовом горизонте может отсутствовать после расходов или исчезнуть после запуска.</w:t>
            </w:r>
          </w:p>
        </w:tc>
      </w:tr>
      <w:tr>
        <w:trPr>
          <w:cantSplit/>
        </w:trPr>
        <w:tc>
          <w:tcPr>
            <w:tcW w:type="dxa" w:w="209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Non-stationarity</w:t>
            </w:r>
          </w:p>
        </w:tc>
        <w:tc>
          <w:tcPr>
            <w:tcW w:type="dxa" w:w="708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Крипторынок быстро меняет ликвидность, участников, funding regimes и microstructure.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Altcoin tails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Gaps, delistings, price limits, spread explosions, манипуляции и слабая глубина.</w:t>
            </w:r>
          </w:p>
        </w:tc>
      </w:tr>
      <w:tr>
        <w:trPr>
          <w:cantSplit/>
        </w:trPr>
        <w:tc>
          <w:tcPr>
            <w:tcW w:type="dxa" w:w="209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Execution uncertainty</w:t>
            </w:r>
          </w:p>
        </w:tc>
        <w:tc>
          <w:tcPr>
            <w:tcW w:type="dxa" w:w="708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Ручной оператор меняет delay/fill и может систематически выбирать сигналы.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API/data risk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Задержки и временная неполнота данных в экстремальную волатильность отмечены в документации Bybit.</w:t>
            </w:r>
          </w:p>
        </w:tc>
      </w:tr>
      <w:tr>
        <w:trPr>
          <w:cantSplit/>
        </w:trPr>
        <w:tc>
          <w:tcPr>
            <w:tcW w:type="dxa" w:w="209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Leverage risk</w:t>
            </w:r>
          </w:p>
        </w:tc>
        <w:tc>
          <w:tcPr>
            <w:tcW w:type="dxa" w:w="708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3×–5× остается заемной экспозицией; stop не гарантирует ограничение убытка при gap и ликвидности.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Model risk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Калиброванная в прошлом вероятность не является гарантией; confidence требует постоянного мониторинга.</w:t>
            </w:r>
          </w:p>
        </w:tc>
      </w:tr>
      <w:tr>
        <w:trPr>
          <w:cantSplit/>
        </w:trPr>
        <w:tc>
          <w:tcPr>
            <w:tcW w:type="dxa" w:w="2098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Backtest risk</w:t>
            </w:r>
          </w:p>
        </w:tc>
        <w:tc>
          <w:tcPr>
            <w:tcW w:type="dxa" w:w="7087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Даже аккуратный backtest подвержен multiple testing и selection bias [18–19].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5043"/>
            <w:shd w:fill="1F6D8C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/>
          </w:p>
        </w:tc>
        <w:tc>
          <w:tcPr>
            <w:tcW w:type="dxa" w:w="5043"/>
            <w:shd w:fill="EAF3F8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Честный вывод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Можно построить надежный рекомендательный ресурс и качественно контролировать его статистику. Нельзя до forward test обещать прибыльность или считать ML преимуществом только потому, что backtest имеет высокий Sharpe/accuracy.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Итоговая спецификация рекомендуемой первой версии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154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7030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Решение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Рынок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Bybit linear USDT perpetuals; динамический universe ликвидных криптоактивов, включая альткоины.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Частота</w:t>
            </w:r>
          </w:p>
        </w:tc>
        <w:tc>
          <w:tcPr>
            <w:tcW w:type="dxa" w:w="703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Решение после подтвержденного закрытия 1h candle; monitoring внутри часа.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Горизонты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4h, 8h, 12h как отдельные проверяемые модели/сценарии.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Модель</w:t>
            </w:r>
          </w:p>
        </w:tc>
        <w:tc>
          <w:tcPr>
            <w:tcW w:type="dxa" w:w="703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Logistic baseline + один nonlinear boosting candidate; temporal probability calibration.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Решение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LONG/SHORT/NO TRADE формирует policy engine на основе net EV, net R/R, liquidity и portfolio risk.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Издержки</w:t>
            </w:r>
          </w:p>
        </w:tc>
        <w:tc>
          <w:tcPr>
            <w:tcW w:type="dxa" w:w="703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Фактические fee rates, executable spread/depth, slippage/impact, funding settlement scenarios, stress multipliers.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Риск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Именованные capital profiles; signal/plan separation; risk budget от C_eff; min-order/margin/liquidity/portfolio caps; 3× default, 5× cap, isolated и liquidation buffer.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UI</w:t>
            </w:r>
          </w:p>
        </w:tc>
        <w:tc>
          <w:tcPr>
            <w:tcW w:type="dxa" w:w="703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Компактные цветные плитки: направление, исполнимость, entry, SL/основной TP, net R/R, net EV, риск USDT, notional и одно предупреждение. Подробности и действия — в диалоге; единый tooltip glossary и селектор профиля капитала.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Исполнение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Только оператор; принятие конкретной execution-plan version после повторной проверки капитала/маржи/цены; журнал fills и counterfactual outcome.</w:t>
            </w:r>
          </w:p>
        </w:tc>
      </w:tr>
      <w:tr>
        <w:trPr>
          <w:cantSplit/>
        </w:trPr>
        <w:tc>
          <w:tcPr>
            <w:tcW w:type="dxa" w:w="215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Технологии</w:t>
            </w:r>
          </w:p>
        </w:tc>
        <w:tc>
          <w:tcPr>
            <w:tcW w:type="dxa" w:w="703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FastAPI + Uvicorn + Pydantic; SQLAlchemy 2.x + psycopg 3 + Alembic; обязательный PostgreSQL во всех режимах; numpy/pandas/scikit-learn/joblib; HTML/CSS/Vanilla JS.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Контроль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Walk-forward with purge/embargo, final holdout, PBO/DSR, paper/shadow, drift monitoring.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b/>
          <w:color w:val="153A52"/>
        </w:rPr>
        <w:t xml:space="preserve">Финальный ответ: </w:t>
      </w:r>
      <w:r>
        <w:t>да, законченный проект реален. Наиболее правильная форма — локальный human-in-the-loop decision support terminal, в котором ML оценивает исходы, а отдельные cost/risk/policy-модули определяют, существует ли сделка. Главная сложность проекта находится не в HTML-плитках и не в выборе классификатора, а в исторически корректных данных, честной временной валидации, моделировании исполнения и дисциплинированном журнале решений оператора.</w:t>
      </w:r>
    </w:p>
    <w:p>
      <w:pPr>
        <w:pStyle w:val="Heading1"/>
        <w:keepNext/>
      </w:pPr>
      <w:r>
        <w:t>Приложение A. Минимальный JSON плитки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{</w:t>
              <w:br/>
              <w:t xml:space="preserve">  "signal": {</w:t>
              <w:br/>
              <w:t xml:space="preserve">    "id": "SOLUSDT-20260624T140000Z-LONG-v17",</w:t>
              <w:br/>
              <w:t xml:space="preserve">    "symbol": "SOLUSDT",</w:t>
              <w:br/>
              <w:t xml:space="preserve">    "direction": "LONG",</w:t>
              <w:br/>
              <w:t xml:space="preserve">    "entry": {"low": 141.90, "high": 142.50, "reference": 142.36},</w:t>
              <w:br/>
              <w:t xml:space="preserve">    "stop_loss": 140.20,</w:t>
              <w:br/>
              <w:t xml:space="preserve">    "main_take_profit": 145.80,</w:t>
              <w:br/>
              <w:t xml:space="preserve">    "rr_net": 1.42,</w:t>
              <w:br/>
              <w:t xml:space="preserve">    "ev_net_r": 0.18,</w:t>
              <w:br/>
              <w:t xml:space="preserve">    "expires_at": "2026-06-24T15:30:00Z"</w:t>
              <w:br/>
              <w:t xml:space="preserve">  },</w:t>
              <w:br/>
              <w:t xml:space="preserve">  "execution_plan": {</w:t>
              <w:br/>
              <w:t xml:space="preserve">    "id": "plan-8f2d",</w:t>
              <w:br/>
              <w:t xml:space="preserve">    "version": 3,</w:t>
              <w:br/>
              <w:t xml:space="preserve">    "profile": {"id": "personal-500", "name": "Личный 500",</w:t>
              <w:br/>
              <w:t xml:space="preserve">                "allocated_capital": 500.0, "effective_capital": 500.0,</w:t>
              <w:br/>
              <w:t xml:space="preserve">                "capital_verified": false},</w:t>
              <w:br/>
              <w:t xml:space="preserve">    "status": "ACTIONABLE",</w:t>
              <w:br/>
              <w:t xml:space="preserve">    "risk": {"rate_pct": 0.35, "budget_usdt": 1.75,</w:t>
              <w:br/>
              <w:t xml:space="preserve">             "actual_stress_loss_usdt": 1.74},</w:t>
              <w:br/>
              <w:t xml:space="preserve">    "position": {"qty": 0.72, "notional": 102.4,</w:t>
              <w:br/>
              <w:t xml:space="preserve">                 "leverage": 3, "margin_estimate": 34.2},</w:t>
              <w:br/>
              <w:t xml:space="preserve">    "primary_warning": "Корреляция с открытой ETH LONG"</w:t>
              <w:br/>
              <w:t xml:space="preserve">  },</w:t>
              <w:br/>
              <w:t xml:space="preserve">  "ui": {</w:t>
              <w:br/>
              <w:t xml:space="preserve">    "entry_state": "IN_ENTRY_ZONE",</w:t>
              <w:br/>
              <w:t xml:space="preserve">    "seconds_to_expiry": 2280,</w:t>
              <w:br/>
              <w:t xml:space="preserve">    "help_keys": ["rr_net", "ev_net_r", "risk_usdt", "notional"],</w:t>
              <w:br/>
              <w:t xml:space="preserve">    "glossary_version": "ru-2026-06-01"</w:t>
              <w:br/>
              <w:t xml:space="preserve">  }</w:t>
              <w:br/>
              <w:t>}</w:t>
            </w:r>
          </w:p>
        </w:tc>
      </w:tr>
    </w:tbl>
    <w:p>
      <w:pPr/>
      <w:r>
        <w:rPr>
          <w:b w:val="0"/>
          <w:i w:val="0"/>
        </w:rPr>
        <w:t>Полный response подробного диалога содержит probabilities, TP weights, cost decomposition, account snapshot, caps, explanations и audit metadata. Плиточный endpoint должен оставаться компактным.</w:t>
      </w:r>
    </w:p>
    <w:p>
      <w:pPr>
        <w:pStyle w:val="Heading1"/>
        <w:keepNext/>
      </w:pPr>
      <w:r>
        <w:t>Приложение B. Обязательные тесты математики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24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Тест</w:t>
            </w:r>
          </w:p>
        </w:tc>
        <w:tc>
          <w:tcPr>
            <w:tcW w:type="dxa" w:w="6860"/>
            <w:shd w:fill="D9EAF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Ожидаемое свойство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P&amp;L symmetry</w:t>
            </w:r>
          </w:p>
        </w:tc>
        <w:tc>
          <w:tcPr>
            <w:tcW w:type="dxa" w:w="6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LONG и SHORT дают противоположный gross P&amp;L при одинаковом движении.</w:t>
            </w:r>
          </w:p>
        </w:tc>
      </w:tr>
      <w:tr>
        <w:trPr>
          <w:cantSplit/>
        </w:trPr>
        <w:tc>
          <w:tcPr>
            <w:tcW w:type="dxa" w:w="232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Funding sign</w:t>
            </w:r>
          </w:p>
        </w:tc>
        <w:tc>
          <w:tcPr>
            <w:tcW w:type="dxa" w:w="686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Positive funding: long pays, short receives; negative funding: наоборот.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Settlement timing</w:t>
            </w:r>
          </w:p>
        </w:tc>
        <w:tc>
          <w:tcPr>
            <w:tcW w:type="dxa" w:w="6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Funding=0, если позиция закрыта до settlement; отдельный edge case ±5 секунд.</w:t>
            </w:r>
          </w:p>
        </w:tc>
      </w:tr>
      <w:tr>
        <w:trPr>
          <w:cantSplit/>
        </w:trPr>
        <w:tc>
          <w:tcPr>
            <w:tcW w:type="dxa" w:w="232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Fee basis</w:t>
            </w:r>
          </w:p>
        </w:tc>
        <w:tc>
          <w:tcPr>
            <w:tcW w:type="dxa" w:w="686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Linear fee = executed qty × executed price × fee rate.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Spread accounting</w:t>
            </w:r>
          </w:p>
        </w:tc>
        <w:tc>
          <w:tcPr>
            <w:tcW w:type="dxa" w:w="6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Нет двойного учета spread при использовании bid/ask VWAP.</w:t>
            </w:r>
          </w:p>
        </w:tc>
      </w:tr>
      <w:tr>
        <w:trPr>
          <w:cantSplit/>
        </w:trPr>
        <w:tc>
          <w:tcPr>
            <w:tcW w:type="dxa" w:w="232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Barrier ambiguity</w:t>
            </w:r>
          </w:p>
        </w:tc>
        <w:tc>
          <w:tcPr>
            <w:tcW w:type="dxa" w:w="686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TP и SL в одной lower-timeframe bar разрешаются заданным консервативным правилом.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Qty rounding</w:t>
            </w:r>
          </w:p>
        </w:tc>
        <w:tc>
          <w:tcPr>
            <w:tcW w:type="dxa" w:w="6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Округление вниз по qtyStep; повторная проверка minNotional и maxOrderQty.</w:t>
            </w:r>
          </w:p>
        </w:tc>
      </w:tr>
      <w:tr>
        <w:trPr>
          <w:cantSplit/>
        </w:trPr>
        <w:tc>
          <w:tcPr>
            <w:tcW w:type="dxa" w:w="232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Position sizing</w:t>
            </w:r>
          </w:p>
        </w:tc>
        <w:tc>
          <w:tcPr>
            <w:tcW w:type="dxa" w:w="686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Итоговый stress loss не превышает budget после округления.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Leverage invariance</w:t>
            </w:r>
          </w:p>
        </w:tc>
        <w:tc>
          <w:tcPr>
            <w:tcW w:type="dxa" w:w="6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Изменение leverage не меняет P&amp;L на notional и R/R; меняет margin/liquidation.</w:t>
            </w:r>
          </w:p>
        </w:tc>
      </w:tr>
      <w:tr>
        <w:trPr>
          <w:cantSplit/>
        </w:trPr>
        <w:tc>
          <w:tcPr>
            <w:tcW w:type="dxa" w:w="232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Expiration</w:t>
            </w:r>
          </w:p>
        </w:tc>
        <w:tc>
          <w:tcPr>
            <w:tcW w:type="dxa" w:w="686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Сигнал не может быть принят после expires_at без нового расчета.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Stale data</w:t>
            </w:r>
          </w:p>
        </w:tc>
        <w:tc>
          <w:tcPr>
            <w:tcW w:type="dxa" w:w="68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Любой mandatory stale input переводит решение в BLOCKED.</w:t>
            </w:r>
          </w:p>
        </w:tc>
      </w:tr>
      <w:tr>
        <w:trPr>
          <w:cantSplit/>
        </w:trPr>
        <w:tc>
          <w:tcPr>
            <w:tcW w:type="dxa" w:w="2324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Idempotency</w:t>
            </w:r>
          </w:p>
        </w:tc>
        <w:tc>
          <w:tcPr>
            <w:tcW w:type="dxa" w:w="6860"/>
            <w:shd w:fill="F3F6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Повторный hourly run не создает дубликат recommendation_id.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PostgreSQL migrations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Чистая БД обновляется до head; downgrade/upgrade smoke test не теряет обязательные данные.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Ingestion idempotency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Повторная загрузка одинакового market event не создает дубликаты.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Concurrent hourly run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Два worker на один event_time дают ровно одну опубликованную recommendation благодаря unique key/advisory lock.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State transition race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Конкурентные accept/reject не создают два конечных решения; проигравший запрос получает conflict.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Backup restore</w:t>
            </w:r>
          </w:p>
        </w:tc>
        <w:tc>
          <w:tcPr>
            <w:tcW w:type="dxa" w:w="50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Восстановленная PostgreSQL БД воспроизводит active recommendations, audit chain и model registry.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Capital invariance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Смена профиля капитала не меняет direction, entry, SL/TP, net R/R и EV market signal.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Linear sizing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При отсутствии caps десятикратный C_eff дает десятикратные risk budget и notional после учета округления.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Minimum order safety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Если minQty/minNotional требует превышения budget, статус BLOCKED_MIN_SIZE; округление вверх запрещено.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Profile versioning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Изменение капитала создает новую execution-plan version и не изменяет исторические snapshot/decision records.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Tooltip consistency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Один help_key возвращает одинаковое определение на плитке, в диалоге и в справке для заданной glossary version.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Tooltip accessibility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Tooltip доступен hover, focus и tap; Esc/blur закрывает; критический warning остается видимым без tooltip.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Pre-accept recheck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При stale account snapshot, изменившейся цене или profile version принятие старого plan отклоняется с conflict/recalculate.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b w:val="0"/>
          <w:i w:val="0"/>
        </w:rPr>
        <w:t>Приложение C. Полный словарь подсказок интерфейса</w:t>
      </w:r>
    </w:p>
    <w:p>
      <w:pPr/>
      <w:r>
        <w:rPr>
          <w:b w:val="0"/>
          <w:i w:val="0"/>
        </w:rPr>
        <w:t>Краткий текст показывается во всплывающей подсказке; расширенный текст доступен в справке. Формулировки должны проходить предметную проверку и версионироваться.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Определение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LONG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Рекомендация рассмотреть длинную позицию: прибыль предполагается при росте цены. Не означает обязательный вход.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SHORT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Рекомендация рассмотреть короткую позицию: прибыль предполагается при снижении цены. Не означает обязательный вход.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TRADE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Система не нашла достаточного преимущества после издержек и рисков либо сделка не прошла policy filters.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WATCH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Кандидат близок к условиям публикации, но одно или несколько обязательных условий пока не выполнены.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BLOCKED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Рыночный сигнал может существовать, но исполнение запрещено конкретным risk/data/account guard.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Entry-zone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Диапазон допустимой цены входа. Вход за пределами зоны требует нового расчета.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SL / Stop Loss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Цена защитного выхода; фактический убыток может превышать расчет при slippage или gap.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TP / Take Profit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Цена плановой фиксации прибыли. При нескольких TP учитываются их веса.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Net R/R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Чистая прибыль по плану / стресс-убыток при SL. Это не вероятность выигрыша.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EV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Средний модельный результат аналогичных OOS-сделок после издержек; не прогноз точного P&amp;L этой сделки.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Одна единица запланированного риска в USDT для выбранного профиля.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P(TP раньше SL)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Калиброванная вероятность достижения TP раньше SL на указанном горизонте и при заданных правилах timeout.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Mark price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Расчетная цена Bybit для P&amp;L и ликвидации; может отличаться от last price.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Last price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Цена последней совершенной сделки; может кратковременно отклоняться от mark price.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Funding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Платеж между сторонами perpetual-контракта в момент settlement; знак зависит от rate и направления позиции.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OI / Open Interest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Объем открытых контрактов. Рост OI сам по себе не задает направление цены.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ATR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Мера типичного диапазона движения цены; используется для оценки волатильности, а не направления.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Spread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Разница между лучшей ценой покупки и продажи.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Slippage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Разница между ожидаемой и фактической средней ценой исполнения.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Notional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Полная стоимость позиции. При 3× notional примерно втрое больше initial margin, но риск определяется SL.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Margin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Средства, резервируемые для позиции; не равны максимальному убытку.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Leverage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Notional / margin. Увеличивает чувствительность капитала и риск ликвидации, но не улучшает edge.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Liquidation buffer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Запас между защитным SL/текущей ценой и расчетной областью ликвидации.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Time stop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Закрытие позиции по истечении максимального времени, даже если TP/SL не достигнуты.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OOS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Out-of-sample: данные, не использованные для обучения и настройки модели.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Calibration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Насколько заявленные вероятности совпадают с реальной частотой исходов на OOS.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Drift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Изменение данных или качества модели относительно периода обучения.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Stale data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Данные старше допустимого порога; решения на них блокируются.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Capital profile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Набор параметров капитала и risk policy, для которого рассчитываются qty, margin и исполнимость.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C_eff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5"/>
              </w:rPr>
              <w:t>Консервативный капитал, используемый для sizing после учета allocation и актуальной equity.</w:t>
            </w:r>
          </w:p>
        </w:tc>
      </w:tr>
    </w:tbl>
    <w:p>
      <w:pPr>
        <w:pStyle w:val="Heading1"/>
        <w:keepNext/>
      </w:pPr>
      <w:r>
        <w:rPr>
          <w:b w:val="0"/>
          <w:i w:val="0"/>
        </w:rPr>
        <w:t>Приложение D. Правила работы с капиталом в интерфейсе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Поведение системы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Оператор выбирает другой профиль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Плитки сохраняют signal metrics и получают новые plan metrics; старые версии остаются в audit log.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Введено 500 USDT вручную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Разрешено для paper/manual режима; интерфейс маркирует капитал как неподтвержденный.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Read-only equity = 500, введено 5 000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Live-plan не создается; оператор должен уменьшить allocation.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Equity снизилась внутри дня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C_eff уменьшается; активные планы пересчитываются и могут стать LIMITED/BLOCKED.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Equity выросла внутри дня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При рекомендуемой conservative policy C_eff не увеличивается до следующего reset/review.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Размер меньше min order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Сделка блокируется; система не увеличивает риск ради прохождения minQty/minNotional.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Большой капитал упирается в depth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Notional ограничивается N_liquidity; показываются фактический риск и статус LIMITED.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Профиль изменен после открытия диалога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Принятие старой версии запрещается; требуется обновить расчет.</w:t>
            </w:r>
          </w:p>
        </w:tc>
      </w:tr>
    </w:tbl>
    <w:p>
      <w:pPr>
        <w:pStyle w:val="Heading1"/>
        <w:keepNext/>
      </w:pPr>
      <w:r>
        <w:t>Источники и проверенные материалы</w:t>
      </w:r>
    </w:p>
    <w:p>
      <w:r>
        <w:t>Официальная документация Bybit, FastAPI, SQLAlchemy, Alembic и PostgreSQL проверена 25 июня 2026 г. Исследовательские источники используются для методологии калибровки и контроля backtest overfitting.</w:t>
      </w:r>
    </w:p>
    <w:p>
      <w:pPr>
        <w:pStyle w:val="SmallNote"/>
      </w:pPr>
      <w:hyperlink r:id="rId11">
        <w:r>
          <w:rPr>
            <w:color w:val="0563C1"/>
            <w:u w:val="single"/>
            <w:rFonts w:ascii="Arial" w:hAnsi="Arial"/>
            <w:sz w:val="18"/>
          </w:rPr>
          <w:t>1. Bybit V5 API — Get Instruments Info</w:t>
        </w:r>
      </w:hyperlink>
    </w:p>
    <w:p>
      <w:pPr>
        <w:pStyle w:val="SmallNote"/>
      </w:pPr>
      <w:hyperlink r:id="rId12">
        <w:r>
          <w:rPr>
            <w:color w:val="0563C1"/>
            <w:u w:val="single"/>
            <w:rFonts w:ascii="Arial" w:hAnsi="Arial"/>
            <w:sz w:val="18"/>
          </w:rPr>
          <w:t>2. Bybit V5 API — Get Tickers</w:t>
        </w:r>
      </w:hyperlink>
    </w:p>
    <w:p>
      <w:pPr>
        <w:pStyle w:val="SmallNote"/>
      </w:pPr>
      <w:hyperlink r:id="rId13">
        <w:r>
          <w:rPr>
            <w:color w:val="0563C1"/>
            <w:u w:val="single"/>
            <w:rFonts w:ascii="Arial" w:hAnsi="Arial"/>
            <w:sz w:val="18"/>
          </w:rPr>
          <w:t>3. Bybit V5 API — Get Fee Rate</w:t>
        </w:r>
      </w:hyperlink>
    </w:p>
    <w:p>
      <w:pPr>
        <w:pStyle w:val="SmallNote"/>
      </w:pPr>
      <w:hyperlink r:id="rId14">
        <w:r>
          <w:rPr>
            <w:color w:val="0563C1"/>
            <w:u w:val="single"/>
            <w:rFonts w:ascii="Arial" w:hAnsi="Arial"/>
            <w:sz w:val="18"/>
          </w:rPr>
          <w:t>4. Bybit V5 WebSocket — Kline</w:t>
        </w:r>
      </w:hyperlink>
    </w:p>
    <w:p>
      <w:pPr>
        <w:pStyle w:val="SmallNote"/>
      </w:pPr>
      <w:hyperlink r:id="rId15">
        <w:r>
          <w:rPr>
            <w:color w:val="0563C1"/>
            <w:u w:val="single"/>
            <w:rFonts w:ascii="Arial" w:hAnsi="Arial"/>
            <w:sz w:val="18"/>
          </w:rPr>
          <w:t>5. Bybit V5 API — Get Mark Price Kline</w:t>
        </w:r>
      </w:hyperlink>
    </w:p>
    <w:p>
      <w:pPr>
        <w:pStyle w:val="SmallNote"/>
      </w:pPr>
      <w:hyperlink r:id="rId16">
        <w:r>
          <w:rPr>
            <w:color w:val="0563C1"/>
            <w:u w:val="single"/>
            <w:rFonts w:ascii="Arial" w:hAnsi="Arial"/>
            <w:sz w:val="18"/>
          </w:rPr>
          <w:t>6. Bybit V5 API — Get Index Price Kline</w:t>
        </w:r>
      </w:hyperlink>
    </w:p>
    <w:p>
      <w:pPr>
        <w:pStyle w:val="SmallNote"/>
      </w:pPr>
      <w:hyperlink r:id="rId17">
        <w:r>
          <w:rPr>
            <w:color w:val="0563C1"/>
            <w:u w:val="single"/>
            <w:rFonts w:ascii="Arial" w:hAnsi="Arial"/>
            <w:sz w:val="18"/>
          </w:rPr>
          <w:t>7. Bybit V5 API — Get Open Interest</w:t>
        </w:r>
      </w:hyperlink>
    </w:p>
    <w:p>
      <w:pPr>
        <w:pStyle w:val="SmallNote"/>
      </w:pPr>
      <w:hyperlink r:id="rId18">
        <w:r>
          <w:rPr>
            <w:color w:val="0563C1"/>
            <w:u w:val="single"/>
            <w:rFonts w:ascii="Arial" w:hAnsi="Arial"/>
            <w:sz w:val="18"/>
          </w:rPr>
          <w:t>8. Bybit V5 API — Get Funding Rate History</w:t>
        </w:r>
      </w:hyperlink>
    </w:p>
    <w:p>
      <w:pPr>
        <w:pStyle w:val="SmallNote"/>
      </w:pPr>
      <w:hyperlink r:id="rId19">
        <w:r>
          <w:rPr>
            <w:color w:val="0563C1"/>
            <w:u w:val="single"/>
            <w:rFonts w:ascii="Arial" w:hAnsi="Arial"/>
            <w:sz w:val="18"/>
          </w:rPr>
          <w:t>9. Bybit V5 API — Get Long Short Ratio</w:t>
        </w:r>
      </w:hyperlink>
    </w:p>
    <w:p>
      <w:pPr>
        <w:pStyle w:val="SmallNote"/>
      </w:pPr>
      <w:hyperlink r:id="rId20">
        <w:r>
          <w:rPr>
            <w:color w:val="0563C1"/>
            <w:u w:val="single"/>
            <w:rFonts w:ascii="Arial" w:hAnsi="Arial"/>
            <w:sz w:val="18"/>
          </w:rPr>
          <w:t>10. Bybit V5 API — Get Orderbook</w:t>
        </w:r>
      </w:hyperlink>
    </w:p>
    <w:p>
      <w:pPr>
        <w:pStyle w:val="SmallNote"/>
      </w:pPr>
      <w:hyperlink r:id="rId21">
        <w:r>
          <w:rPr>
            <w:color w:val="0563C1"/>
            <w:u w:val="single"/>
            <w:rFonts w:ascii="Arial" w:hAnsi="Arial"/>
            <w:sz w:val="18"/>
          </w:rPr>
          <w:t>11. Bybit V5 API — Get Risk Limit</w:t>
        </w:r>
      </w:hyperlink>
    </w:p>
    <w:p>
      <w:pPr>
        <w:pStyle w:val="SmallNote"/>
      </w:pPr>
      <w:hyperlink r:id="rId22">
        <w:r>
          <w:rPr>
            <w:color w:val="0563C1"/>
            <w:u w:val="single"/>
            <w:rFonts w:ascii="Arial" w:hAnsi="Arial"/>
            <w:sz w:val="18"/>
          </w:rPr>
          <w:t>12. Bybit Help Center — Liquidation Price Calculation under Isolated Mode (UTA)</w:t>
        </w:r>
      </w:hyperlink>
    </w:p>
    <w:p>
      <w:pPr>
        <w:pStyle w:val="SmallNote"/>
      </w:pPr>
      <w:hyperlink r:id="rId23">
        <w:r>
          <w:rPr>
            <w:color w:val="0563C1"/>
            <w:u w:val="single"/>
            <w:rFonts w:ascii="Arial" w:hAnsi="Arial"/>
            <w:sz w:val="18"/>
          </w:rPr>
          <w:t>13. Bybit Help Center — Mark Price and liquidation</w:t>
        </w:r>
      </w:hyperlink>
    </w:p>
    <w:p>
      <w:pPr>
        <w:pStyle w:val="SmallNote"/>
      </w:pPr>
      <w:hyperlink r:id="rId24">
        <w:r>
          <w:rPr>
            <w:color w:val="0563C1"/>
            <w:u w:val="single"/>
            <w:rFonts w:ascii="Arial" w:hAnsi="Arial"/>
            <w:sz w:val="18"/>
          </w:rPr>
          <w:t>14. Niculescu-Mizil A., Caruana R. Predicting Good Probabilities with Supervised Learning, ICML 2005</w:t>
        </w:r>
      </w:hyperlink>
    </w:p>
    <w:p>
      <w:pPr>
        <w:pStyle w:val="SmallNote"/>
      </w:pPr>
      <w:hyperlink r:id="rId25">
        <w:r>
          <w:rPr>
            <w:color w:val="0563C1"/>
            <w:u w:val="single"/>
            <w:rFonts w:ascii="Arial" w:hAnsi="Arial"/>
            <w:sz w:val="18"/>
          </w:rPr>
          <w:t>15. Bybit Help Center — Futures Contracts: Fees Explained</w:t>
        </w:r>
      </w:hyperlink>
    </w:p>
    <w:p>
      <w:pPr>
        <w:pStyle w:val="SmallNote"/>
      </w:pPr>
      <w:hyperlink r:id="rId26">
        <w:r>
          <w:rPr>
            <w:color w:val="0563C1"/>
            <w:u w:val="single"/>
            <w:rFonts w:ascii="Arial" w:hAnsi="Arial"/>
            <w:sz w:val="18"/>
          </w:rPr>
          <w:t>16. Bybit Help Center — Funding Fee Calculation</w:t>
        </w:r>
      </w:hyperlink>
    </w:p>
    <w:p>
      <w:pPr>
        <w:pStyle w:val="SmallNote"/>
      </w:pPr>
      <w:hyperlink r:id="rId27">
        <w:r>
          <w:rPr>
            <w:color w:val="0563C1"/>
            <w:u w:val="single"/>
            <w:rFonts w:ascii="Arial" w:hAnsi="Arial"/>
            <w:sz w:val="18"/>
          </w:rPr>
          <w:t>17. Bybit V5 API — Set Leverage</w:t>
        </w:r>
      </w:hyperlink>
    </w:p>
    <w:p>
      <w:pPr>
        <w:pStyle w:val="SmallNote"/>
      </w:pPr>
      <w:hyperlink r:id="rId28">
        <w:r>
          <w:rPr>
            <w:color w:val="0563C1"/>
            <w:u w:val="single"/>
            <w:rFonts w:ascii="Arial" w:hAnsi="Arial"/>
            <w:sz w:val="18"/>
          </w:rPr>
          <w:t>18. Bailey D.H. et al. The Probability of Backtest Overfitting</w:t>
        </w:r>
      </w:hyperlink>
    </w:p>
    <w:p>
      <w:pPr>
        <w:pStyle w:val="SmallNote"/>
      </w:pPr>
      <w:hyperlink r:id="rId29">
        <w:r>
          <w:rPr>
            <w:color w:val="0563C1"/>
            <w:u w:val="single"/>
            <w:rFonts w:ascii="Arial" w:hAnsi="Arial"/>
            <w:sz w:val="18"/>
          </w:rPr>
          <w:t>19. Bailey D.H., López de Prado M. The Deflated Sharpe Ratio</w:t>
        </w:r>
      </w:hyperlink>
    </w:p>
    <w:p>
      <w:pPr>
        <w:pStyle w:val="SmallNote"/>
      </w:pPr>
      <w:hyperlink r:id="rId30">
        <w:r>
          <w:rPr>
            <w:color w:val="0563C1"/>
            <w:u w:val="single"/>
            <w:rFonts w:ascii="Arial" w:hAnsi="Arial"/>
            <w:sz w:val="18"/>
          </w:rPr>
          <w:t>20. Almgren R., Chriss N. Optimal Execution of Portfolio Transactions</w:t>
        </w:r>
      </w:hyperlink>
    </w:p>
    <w:p>
      <w:pPr>
        <w:pStyle w:val="SmallNote"/>
      </w:pPr>
      <w:hyperlink r:id="rId31">
        <w:r>
          <w:rPr>
            <w:color w:val="0563C1"/>
            <w:u w:val="single"/>
            <w:rFonts w:ascii="Arial" w:hAnsi="Arial"/>
            <w:sz w:val="18"/>
          </w:rPr>
          <w:t>21. Easley D. et al. Microstructure and Market Dynamics in Crypto Markets, 2024</w:t>
        </w:r>
      </w:hyperlink>
    </w:p>
    <w:p>
      <w:pPr>
        <w:pStyle w:val="SmallNote"/>
      </w:pPr>
      <w:hyperlink r:id="rId32">
        <w:r>
          <w:rPr>
            <w:color w:val="0563C1"/>
            <w:u w:val="single"/>
          </w:rPr>
          <w:t>22. FastAPI — official documentation</w:t>
        </w:r>
      </w:hyperlink>
    </w:p>
    <w:p>
      <w:pPr>
        <w:pStyle w:val="SmallNote"/>
      </w:pPr>
      <w:hyperlink r:id="rId33">
        <w:r>
          <w:rPr>
            <w:color w:val="0563C1"/>
            <w:u w:val="single"/>
          </w:rPr>
          <w:t>23. FastAPI — Lifespan Events</w:t>
        </w:r>
      </w:hyperlink>
    </w:p>
    <w:p>
      <w:pPr>
        <w:pStyle w:val="SmallNote"/>
      </w:pPr>
      <w:hyperlink r:id="rId34">
        <w:r>
          <w:rPr>
            <w:color w:val="0563C1"/>
            <w:u w:val="single"/>
          </w:rPr>
          <w:t>24. FastAPI — Deployment Concepts</w:t>
        </w:r>
      </w:hyperlink>
    </w:p>
    <w:p>
      <w:pPr>
        <w:pStyle w:val="SmallNote"/>
      </w:pPr>
      <w:hyperlink r:id="rId35">
        <w:r>
          <w:rPr>
            <w:color w:val="0563C1"/>
            <w:u w:val="single"/>
          </w:rPr>
          <w:t>25. SQLAlchemy — PostgreSQL dialect and psycopg 3</w:t>
        </w:r>
      </w:hyperlink>
    </w:p>
    <w:p>
      <w:pPr>
        <w:pStyle w:val="SmallNote"/>
      </w:pPr>
      <w:hyperlink r:id="rId36">
        <w:r>
          <w:rPr>
            <w:color w:val="0563C1"/>
            <w:u w:val="single"/>
          </w:rPr>
          <w:t>26. SQLAlchemy — AsyncIO integration</w:t>
        </w:r>
      </w:hyperlink>
    </w:p>
    <w:p>
      <w:pPr>
        <w:pStyle w:val="SmallNote"/>
      </w:pPr>
      <w:hyperlink r:id="rId37">
        <w:r>
          <w:rPr>
            <w:color w:val="0563C1"/>
            <w:u w:val="single"/>
          </w:rPr>
          <w:t>27. Alembic — database migrations</w:t>
        </w:r>
      </w:hyperlink>
    </w:p>
    <w:p>
      <w:pPr>
        <w:pStyle w:val="SmallNote"/>
      </w:pPr>
      <w:hyperlink r:id="rId38">
        <w:r>
          <w:rPr>
            <w:color w:val="0563C1"/>
            <w:u w:val="single"/>
          </w:rPr>
          <w:t>28. PostgreSQL — Table Partitioning</w:t>
        </w:r>
      </w:hyperlink>
    </w:p>
    <w:p>
      <w:pPr>
        <w:pStyle w:val="SmallNote"/>
      </w:pPr>
      <w:hyperlink r:id="rId39">
        <w:r>
          <w:rPr>
            <w:color w:val="0563C1"/>
            <w:u w:val="single"/>
          </w:rPr>
          <w:t>29. PostgreSQL — BRIN Indexes</w:t>
        </w:r>
      </w:hyperlink>
    </w:p>
    <w:p>
      <w:pPr>
        <w:pStyle w:val="SmallNote"/>
      </w:pPr>
      <w:hyperlink r:id="rId40">
        <w:r>
          <w:rPr>
            <w:color w:val="0563C1"/>
            <w:u w:val="single"/>
          </w:rPr>
          <w:t>30. PostgreSQL — JSON Types</w:t>
        </w:r>
      </w:hyperlink>
    </w:p>
    <w:p>
      <w:pPr>
        <w:pStyle w:val="SmallNote"/>
      </w:pPr>
      <w:hyperlink r:id="rId41">
        <w:r>
          <w:rPr>
            <w:color w:val="0563C1"/>
            <w:u w:val="single"/>
          </w:rPr>
          <w:t>31. PostgreSQL — Explicit and Advisory Locking</w:t>
        </w:r>
      </w:hyperlink>
    </w:p>
    <w:p>
      <w:pPr>
        <w:pStyle w:val="SmallNote"/>
      </w:pPr>
      <w:r>
        <w:t>Примечание: документ является технической концепцией системы поддержки решений, а не инвестиционной рекомендацией и не гарантирует прибыльность стратегии.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Стр.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E78"/>
        <w:sz w:val="16"/>
      </w:rPr>
      <w:t>Cost-aware hourly ML momentum | версия после повторной проверки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53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6D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55A6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53A5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0728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ybit-exchange.github.io/docs/v5/market/instrument" TargetMode="External"/><Relationship Id="rId12" Type="http://schemas.openxmlformats.org/officeDocument/2006/relationships/hyperlink" Target="https://bybit-exchange.github.io/docs/v5/market/tickers" TargetMode="External"/><Relationship Id="rId13" Type="http://schemas.openxmlformats.org/officeDocument/2006/relationships/hyperlink" Target="https://bybit-exchange.github.io/docs/v5/account/fee-rate" TargetMode="External"/><Relationship Id="rId14" Type="http://schemas.openxmlformats.org/officeDocument/2006/relationships/hyperlink" Target="https://bybit-exchange.github.io/docs/v5/websocket/public/kline" TargetMode="External"/><Relationship Id="rId15" Type="http://schemas.openxmlformats.org/officeDocument/2006/relationships/hyperlink" Target="https://bybit-exchange.github.io/docs/v5/market/mark-kline" TargetMode="External"/><Relationship Id="rId16" Type="http://schemas.openxmlformats.org/officeDocument/2006/relationships/hyperlink" Target="https://bybit-exchange.github.io/docs/v5/market/index-kline" TargetMode="External"/><Relationship Id="rId17" Type="http://schemas.openxmlformats.org/officeDocument/2006/relationships/hyperlink" Target="https://bybit-exchange.github.io/docs/v5/market/open-interest" TargetMode="External"/><Relationship Id="rId18" Type="http://schemas.openxmlformats.org/officeDocument/2006/relationships/hyperlink" Target="https://bybit-exchange.github.io/docs/v5/market/history-fund-rate" TargetMode="External"/><Relationship Id="rId19" Type="http://schemas.openxmlformats.org/officeDocument/2006/relationships/hyperlink" Target="https://bybit-exchange.github.io/docs/v5/market/long-short-ratio" TargetMode="External"/><Relationship Id="rId20" Type="http://schemas.openxmlformats.org/officeDocument/2006/relationships/hyperlink" Target="https://bybit-exchange.github.io/docs/v5/market/orderbook" TargetMode="External"/><Relationship Id="rId21" Type="http://schemas.openxmlformats.org/officeDocument/2006/relationships/hyperlink" Target="https://bybit-exchange.github.io/docs/v5/market/risk-limit" TargetMode="External"/><Relationship Id="rId22" Type="http://schemas.openxmlformats.org/officeDocument/2006/relationships/hyperlink" Target="https://www.bybit.com/en/help-center/article/Liquidation-Price-Calculation-under-Isolated-Mode-Unified-Trading-Account" TargetMode="External"/><Relationship Id="rId23" Type="http://schemas.openxmlformats.org/officeDocument/2006/relationships/hyperlink" Target="https://www.bybit.com/en/help-center/article/Mark-Price-Calculation-Perpetual-Expiry-Contracts" TargetMode="External"/><Relationship Id="rId24" Type="http://schemas.openxmlformats.org/officeDocument/2006/relationships/hyperlink" Target="https://www.cs.cornell.edu/~alexn/papers/calibration.icml05.crc.rev3.pdf" TargetMode="External"/><Relationship Id="rId25" Type="http://schemas.openxmlformats.org/officeDocument/2006/relationships/hyperlink" Target="https://www.bybit.com/en/help-center/article/Perpetual-Futures-Contract-Fees-Explained" TargetMode="External"/><Relationship Id="rId26" Type="http://schemas.openxmlformats.org/officeDocument/2006/relationships/hyperlink" Target="https://www.bybit.com/en/help-center/article/Funding-fee-calculation" TargetMode="External"/><Relationship Id="rId27" Type="http://schemas.openxmlformats.org/officeDocument/2006/relationships/hyperlink" Target="https://bybit-exchange.github.io/docs/v5/position/leverage" TargetMode="External"/><Relationship Id="rId28" Type="http://schemas.openxmlformats.org/officeDocument/2006/relationships/hyperlink" Target="https://papers.ssrn.com/sol3/papers.cfm?abstract_id=2326253" TargetMode="External"/><Relationship Id="rId29" Type="http://schemas.openxmlformats.org/officeDocument/2006/relationships/hyperlink" Target="https://papers.ssrn.com/sol3/papers.cfm?abstract_id=2460551" TargetMode="External"/><Relationship Id="rId30" Type="http://schemas.openxmlformats.org/officeDocument/2006/relationships/hyperlink" Target="https://www.smallake.kr/wp-content/uploads/2016/03/optliq.pdf" TargetMode="External"/><Relationship Id="rId31" Type="http://schemas.openxmlformats.org/officeDocument/2006/relationships/hyperlink" Target="https://stoye.economics.cornell.edu/docs/Easley_ssrn-4814346.pdf" TargetMode="External"/><Relationship Id="rId32" Type="http://schemas.openxmlformats.org/officeDocument/2006/relationships/hyperlink" Target="https://fastapi.tiangolo.com/" TargetMode="External"/><Relationship Id="rId33" Type="http://schemas.openxmlformats.org/officeDocument/2006/relationships/hyperlink" Target="https://fastapi.tiangolo.com/advanced/events/" TargetMode="External"/><Relationship Id="rId34" Type="http://schemas.openxmlformats.org/officeDocument/2006/relationships/hyperlink" Target="https://fastapi.tiangolo.com/deployment/concepts/" TargetMode="External"/><Relationship Id="rId35" Type="http://schemas.openxmlformats.org/officeDocument/2006/relationships/hyperlink" Target="https://docs.sqlalchemy.org/en/21/dialects/postgresql.html" TargetMode="External"/><Relationship Id="rId36" Type="http://schemas.openxmlformats.org/officeDocument/2006/relationships/hyperlink" Target="https://docs.sqlalchemy.org/en/21/orm/extensions/asyncio.html" TargetMode="External"/><Relationship Id="rId37" Type="http://schemas.openxmlformats.org/officeDocument/2006/relationships/hyperlink" Target="https://alembic.sqlalchemy.org/en/latest/" TargetMode="External"/><Relationship Id="rId38" Type="http://schemas.openxmlformats.org/officeDocument/2006/relationships/hyperlink" Target="https://www.postgresql.org/docs/current/ddl-partitioning.html" TargetMode="External"/><Relationship Id="rId39" Type="http://schemas.openxmlformats.org/officeDocument/2006/relationships/hyperlink" Target="https://www.postgresql.org/docs/current/brin.html" TargetMode="External"/><Relationship Id="rId40" Type="http://schemas.openxmlformats.org/officeDocument/2006/relationships/hyperlink" Target="https://www.postgresql.org/docs/current/datatype-json.html" TargetMode="External"/><Relationship Id="rId41" Type="http://schemas.openxmlformats.org/officeDocument/2006/relationships/hyperlink" Target="https://www.postgresql.org/docs/current/explicit-lock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Cost-aware hourly ML momentum для Bybit: FastAPI, PostgreSQL, UI и профили капитала</dc:title>
  <dc:subject>Архитектура рекомендательной системы, плиточный интерфейс, tooltip glossary и масштабирование капитала</dc:subject>
  <dc:creator>OpenAI</dc:creator>
  <cp:keywords>Bybit, futures, machine learning, momentum, cost-aware, risk management, operator dashboard</cp:keywords>
  <dc:description>Обновлено: компактная плитка, подробный диалог, доступные подсказки, capital profiles и раздельные market signal/execution plan.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