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руководство-оператора"/>
    <w:p>
      <w:pPr>
        <w:pStyle w:val="Heading1"/>
      </w:pPr>
      <w:r>
        <w:t xml:space="preserve">Руководство оператора</w:t>
      </w:r>
    </w:p>
    <w:bookmarkStart w:id="20" w:name="назначение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Операторский модуль создан для безопасной работы с Crypto Acceleration System 2026. Он не является торговым терминалом для ручного открытия сделок. Его задача - показать, можно ли тестировать систему, почему live сейчас заблокирован, какие проверки еще нужны и какие безопасные действия доступны оператору.</w:t>
      </w:r>
    </w:p>
    <w:bookmarkEnd w:id="20"/>
    <w:bookmarkStart w:id="21" w:name="главное-правило"/>
    <w:p>
      <w:pPr>
        <w:pStyle w:val="Heading2"/>
      </w:pPr>
      <w:r>
        <w:t xml:space="preserve">Главное правило</w:t>
      </w:r>
    </w:p>
    <w:p>
      <w:pPr>
        <w:pStyle w:val="FirstParagraph"/>
      </w:pPr>
      <w:r>
        <w:t xml:space="preserve">Если интерфейс показывает</w:t>
      </w:r>
      <w:r>
        <w:t xml:space="preserve"> </w:t>
      </w:r>
      <w:r>
        <w:rPr>
          <w:rStyle w:val="VerbatimChar"/>
        </w:rPr>
        <w:t xml:space="preserve">Live заблокирован</w:t>
      </w:r>
      <w:r>
        <w:t xml:space="preserve">, это не ошибка. До полного Go/No-Go PASS система обязана блокировать live. Оператор не должен искать обходной путь.</w:t>
      </w:r>
    </w:p>
    <w:bookmarkEnd w:id="21"/>
    <w:bookmarkStart w:id="22" w:name="как-открыть-модуль"/>
    <w:p>
      <w:pPr>
        <w:pStyle w:val="Heading2"/>
      </w:pPr>
      <w:r>
        <w:t xml:space="preserve">Как открыть модуль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t xml:space="preserve">Затем открыть в браузере:</w:t>
      </w:r>
    </w:p>
    <w:p>
      <w:pPr>
        <w:pStyle w:val="SourceCode"/>
      </w:pPr>
      <w:r>
        <w:rPr>
          <w:rStyle w:val="VerbatimChar"/>
        </w:rPr>
        <w:t xml:space="preserve">http://127.0.0.1:8000/</w:t>
      </w:r>
    </w:p>
    <w:bookmarkEnd w:id="22"/>
    <w:bookmarkStart w:id="23" w:name="что-смотреть-первым"/>
    <w:p>
      <w:pPr>
        <w:pStyle w:val="Heading2"/>
      </w:pPr>
      <w:r>
        <w:t xml:space="preserve">Что смотреть первым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Текущее состояние</w:t>
      </w:r>
      <w:r>
        <w:t xml:space="preserve"> </w:t>
      </w:r>
      <w:r>
        <w:t xml:space="preserve">- крупный верхний блок. Он отвечает на вопрос: можно ли продолжать и что делать следующим шагом.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Панель допуска</w:t>
      </w:r>
      <w:r>
        <w:t xml:space="preserve"> </w:t>
      </w:r>
      <w:r>
        <w:t xml:space="preserve">- короткие карточки по торговле, БД, risk engine, live gate, фазе и ML.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мешает запуску</w:t>
      </w:r>
      <w:r>
        <w:t xml:space="preserve"> </w:t>
      </w:r>
      <w:r>
        <w:t xml:space="preserve">- список причин блокировки. Исправлять сверху вниз.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Операционный центр</w:t>
      </w:r>
      <w:r>
        <w:t xml:space="preserve"> </w:t>
      </w:r>
      <w:r>
        <w:t xml:space="preserve">- запуск разрешенных backend-команд без терминала: validate, preflight и PostgreSQL migrations.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План перехода от теста к live</w:t>
      </w:r>
      <w:r>
        <w:t xml:space="preserve"> </w:t>
      </w:r>
      <w:r>
        <w:t xml:space="preserve">- последовательность проверок.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Символы</w:t>
      </w:r>
      <w:r>
        <w:t xml:space="preserve"> </w:t>
      </w:r>
      <w:r>
        <w:t xml:space="preserve">- понятный статус BTCUSDT, ETHUSDT, SOLUSDT.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Безопасные действия оператора</w:t>
      </w:r>
      <w:r>
        <w:t xml:space="preserve"> </w:t>
      </w:r>
      <w:r>
        <w:t xml:space="preserve">- только disable/cancel/flatten/resolve. Открытия сделки из интерфейса нет.</w:t>
      </w:r>
    </w:p>
    <w:bookmarkEnd w:id="23"/>
    <w:bookmarkStart w:id="24" w:name="безопасные-стартовые-настройки-phase-0"/>
    <w:p>
      <w:pPr>
        <w:pStyle w:val="Heading2"/>
      </w:pPr>
      <w:r>
        <w:t xml:space="preserve">Безопасные стартовые настройки Phase 0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TRADING_ENABLED=false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CAS_ENABLE_LIVE_SUBMIT=false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BYBIT_LIVE_CONFIRM=false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BYBIT_TESTNET=true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CAS_REQUIRE_DB_FOR_LIVE=true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CAS_REQUIRE_LIVE_PREFLIGHT=true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CAS_REQUIRE_GO_NOGO_FOR_LIVE=true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CAS_GO_NOGO_PASS=false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CAS_DEMO_MODE=false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CAS_ALLOW_DEMO_ML=false</w:t>
      </w:r>
    </w:p>
    <w:p>
      <w:pPr>
        <w:pStyle w:val="FirstParagraph"/>
      </w:pPr>
      <w:r>
        <w:t xml:space="preserve">Phase 0: только BTCUSDT, ETHUSDT, SOLUSDT. Риск по умолчанию 1%, абсолютный максимум 1.5%, эффективное плечо по умолчанию не выше 3x.</w:t>
      </w:r>
    </w:p>
    <w:bookmarkEnd w:id="24"/>
    <w:bookmarkStart w:id="25" w:name="проверки-перед-testnet"/>
    <w:p>
      <w:pPr>
        <w:pStyle w:val="Heading2"/>
      </w:pPr>
      <w:r>
        <w:t xml:space="preserve">Проверки перед testnet</w:t>
      </w:r>
    </w:p>
    <w:p>
      <w:pPr>
        <w:pStyle w:val="FirstParagraph"/>
      </w:pPr>
      <w:r>
        <w:t xml:space="preserve">Рекомендуемый путь для оператора — запускать проверки из блока</w:t>
      </w:r>
      <w:r>
        <w:t xml:space="preserve"> </w:t>
      </w:r>
      <w:r>
        <w:rPr>
          <w:b/>
          <w:bCs/>
        </w:rPr>
        <w:t xml:space="preserve">Операционный центр</w:t>
      </w:r>
      <w:r>
        <w:t xml:space="preserve">. Терминальные команды остаются резервным вариантом: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validate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preflight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testnet</w:t>
      </w:r>
    </w:p>
    <w:p>
      <w:pPr>
        <w:pStyle w:val="FirstParagraph"/>
      </w:pPr>
      <w:r>
        <w:rPr>
          <w:rStyle w:val="VerbatimChar"/>
        </w:rPr>
        <w:t xml:space="preserve">validate</w:t>
      </w:r>
      <w:r>
        <w:t xml:space="preserve"> </w:t>
      </w:r>
      <w:r>
        <w:t xml:space="preserve">должен пройти без ошибок.</w:t>
      </w:r>
      <w:r>
        <w:t xml:space="preserve"> </w:t>
      </w:r>
      <w:r>
        <w:rPr>
          <w:rStyle w:val="VerbatimChar"/>
        </w:rPr>
        <w:t xml:space="preserve">preflight --mode testnet</w:t>
      </w:r>
      <w:r>
        <w:t xml:space="preserve"> </w:t>
      </w:r>
      <w:r>
        <w:t xml:space="preserve">может вернуть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, если нет ключей, БД или runtime-доступа. Это нормально: исправьте причины из интерфейса и повторите.</w:t>
      </w:r>
    </w:p>
    <w:bookmarkEnd w:id="25"/>
    <w:bookmarkStart w:id="26" w:name="Xa3007c387616b93a3f1312e1143a2f0b3165a3c"/>
    <w:p>
      <w:pPr>
        <w:pStyle w:val="Heading2"/>
      </w:pPr>
      <w:r>
        <w:t xml:space="preserve">Операционный центр: команды прямо из интерфейса</w:t>
      </w:r>
    </w:p>
    <w:p>
      <w:pPr>
        <w:pStyle w:val="FirstParagraph"/>
      </w:pPr>
      <w:r>
        <w:t xml:space="preserve">Теперь основные команды можно запускать из браузера без ручного терминала. Это сделано безопасно: браузер не получает shell-доступ и не может отправить произвольную команду. Он вызывает backend endpoint, а backend запускает только allowlist-команды Python.</w:t>
      </w:r>
    </w:p>
    <w:p>
      <w:pPr>
        <w:pStyle w:val="BodyText"/>
      </w:pPr>
      <w:r>
        <w:t xml:space="preserve">Доступные команды: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Команда в интерфейсе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Локальная проверка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Запускает</w:t>
            </w:r>
            <w:r>
              <w:t xml:space="preserve"> </w:t>
            </w:r>
            <w:r>
              <w:rPr>
                <w:rStyle w:val="VerbatimChar"/>
              </w:rPr>
              <w:t xml:space="preserve">python main.py 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отправляет ордера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Testnet preflight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Запускает</w:t>
            </w:r>
            <w:r>
              <w:t xml:space="preserve"> </w:t>
            </w:r>
            <w:r>
              <w:rPr>
                <w:rStyle w:val="VerbatimChar"/>
              </w:rPr>
              <w:t xml:space="preserve">python main.py preflight --mode testnet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без реальных денег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PostgreSQL: применить 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Запускает</w:t>
            </w:r>
            <w:r>
              <w:t xml:space="preserve"> </w:t>
            </w:r>
            <w:r>
              <w:rPr>
                <w:rStyle w:val="VerbatimChar"/>
              </w:rPr>
              <w:t xml:space="preserve">python scripts/bootstrap_db.py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Python-замена</w:t>
            </w:r>
            <w:r>
              <w:t xml:space="preserve"> </w:t>
            </w:r>
            <w:r>
              <w:rPr>
                <w:rStyle w:val="VerbatimChar"/>
              </w:rPr>
              <w:t xml:space="preserve">./scripts/bootstrap_db.sh</w:t>
            </w:r>
            <w:r>
              <w:t xml:space="preserve">, без shell/psql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preflight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Запускает</w:t>
            </w:r>
            <w:r>
              <w:t xml:space="preserve"> </w:t>
            </w:r>
            <w:r>
              <w:rPr>
                <w:rStyle w:val="VerbatimChar"/>
              </w:rPr>
              <w:t xml:space="preserve">python main.py preflight --mode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проверяет gates; live-submit не включает</w:t>
            </w:r>
          </w:p>
        </w:tc>
      </w:tr>
    </w:tbl>
    <w:p>
      <w:pPr>
        <w:pStyle w:val="BodyText"/>
      </w:pPr>
      <w:r>
        <w:t xml:space="preserve">Как запускать:</w:t>
      </w:r>
    </w:p>
    <w:p>
      <w:pPr>
        <w:pStyle w:val="Compact"/>
        <w:numPr>
          <w:ilvl w:val="0"/>
          <w:numId w:val="1003"/>
        </w:numPr>
      </w:pPr>
      <w:r>
        <w:t xml:space="preserve">Откройте блок</w:t>
      </w:r>
      <w:r>
        <w:t xml:space="preserve"> </w:t>
      </w:r>
      <w:r>
        <w:rPr>
          <w:b/>
          <w:bCs/>
        </w:rPr>
        <w:t xml:space="preserve">Операционный центр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Введите</w:t>
      </w:r>
      <w:r>
        <w:t xml:space="preserve"> </w:t>
      </w:r>
      <w:r>
        <w:rPr>
          <w:rStyle w:val="VerbatimChar"/>
        </w:rPr>
        <w:t xml:space="preserve">OPERATOR_API_KEY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Введите причину запуска: например, «первичная настройка PostgreSQL» или «проверка перед testnet».</w:t>
      </w:r>
    </w:p>
    <w:p>
      <w:pPr>
        <w:pStyle w:val="Compact"/>
        <w:numPr>
          <w:ilvl w:val="0"/>
          <w:numId w:val="1003"/>
        </w:numPr>
      </w:pPr>
      <w:r>
        <w:t xml:space="preserve">Нажмите нужную команду.</w:t>
      </w:r>
    </w:p>
    <w:p>
      <w:pPr>
        <w:pStyle w:val="Compact"/>
        <w:numPr>
          <w:ilvl w:val="0"/>
          <w:numId w:val="1003"/>
        </w:numPr>
      </w:pPr>
      <w:r>
        <w:t xml:space="preserve">Дождитесь статуса job и прочитайте</w:t>
      </w:r>
      <w:r>
        <w:t xml:space="preserve"> </w:t>
      </w:r>
      <w:r>
        <w:rPr>
          <w:rStyle w:val="VerbatimChar"/>
        </w:rPr>
        <w:t xml:space="preserve">stdout/stderr</w:t>
      </w:r>
      <w:r>
        <w:t xml:space="preserve">.</w:t>
      </w:r>
    </w:p>
    <w:p>
      <w:pPr>
        <w:pStyle w:val="FirstParagraph"/>
      </w:pPr>
      <w:r>
        <w:t xml:space="preserve">Важное ограничение:</w:t>
      </w:r>
      <w:r>
        <w:t xml:space="preserve"> </w:t>
      </w:r>
      <w:r>
        <w:rPr>
          <w:rStyle w:val="VerbatimChar"/>
        </w:rPr>
        <w:t xml:space="preserve">Live preflight</w:t>
      </w:r>
      <w:r>
        <w:t xml:space="preserve"> </w:t>
      </w:r>
      <w:r>
        <w:t xml:space="preserve">не является кнопкой «начать торговать». Это только проверка. Даже при</w:t>
      </w:r>
      <w:r>
        <w:t xml:space="preserve"> </w:t>
      </w:r>
      <w:r>
        <w:rPr>
          <w:rStyle w:val="VerbatimChar"/>
        </w:rPr>
        <w:t xml:space="preserve">status=ok</w:t>
      </w:r>
      <w:r>
        <w:t xml:space="preserve"> </w:t>
      </w:r>
      <w:r>
        <w:t xml:space="preserve">каждый live-order все равно требует approved</w:t>
      </w:r>
      <w:r>
        <w:t xml:space="preserve"> </w:t>
      </w:r>
      <w:r>
        <w:rPr>
          <w:rStyle w:val="VerbatimChar"/>
        </w:rPr>
        <w:t xml:space="preserve">RiskDecision</w:t>
      </w:r>
      <w:r>
        <w:t xml:space="preserve">, idempotency, DB constraints, reconciliation и protection.</w:t>
      </w:r>
    </w:p>
    <w:bookmarkEnd w:id="26"/>
    <w:bookmarkStart w:id="27" w:name="papershadow"/>
    <w:p>
      <w:pPr>
        <w:pStyle w:val="Heading2"/>
      </w:pPr>
      <w:r>
        <w:t xml:space="preserve">Paper/shadow</w:t>
      </w:r>
    </w:p>
    <w:p>
      <w:pPr>
        <w:pStyle w:val="FirstParagraph"/>
      </w:pPr>
      <w:r>
        <w:t xml:space="preserve">В интерфейсе нажать</w:t>
      </w:r>
      <w:r>
        <w:t xml:space="preserve"> </w:t>
      </w:r>
      <w:r>
        <w:rPr>
          <w:b/>
          <w:bCs/>
        </w:rPr>
        <w:t xml:space="preserve">Paper один раз</w:t>
      </w:r>
      <w:r>
        <w:t xml:space="preserve"> </w:t>
      </w:r>
      <w:r>
        <w:t xml:space="preserve">для smoke-проверки конвейера. Для допуска к live нужен не одиночный запуск, а 14+ дней Phase 0 paper/shadow evidence с reconciliation PASS и без unresolved incidents.</w:t>
      </w:r>
    </w:p>
    <w:bookmarkEnd w:id="27"/>
    <w:bookmarkStart w:id="28" w:name="X9a35aedff6b52da2d66d9fb7a16fc4a524b8c63"/>
    <w:p>
      <w:pPr>
        <w:pStyle w:val="Heading2"/>
      </w:pPr>
      <w:r>
        <w:t xml:space="preserve">Когда можно переходить к реальной торговле</w:t>
      </w:r>
    </w:p>
    <w:p>
      <w:pPr>
        <w:pStyle w:val="FirstParagraph"/>
      </w:pPr>
      <w:r>
        <w:t xml:space="preserve">Только когда выполнено все: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python main.py validate</w:t>
      </w:r>
      <w:r>
        <w:t xml:space="preserve"> </w:t>
      </w:r>
      <w:r>
        <w:t xml:space="preserve">- PASS.</w:t>
      </w:r>
    </w:p>
    <w:p>
      <w:pPr>
        <w:pStyle w:val="Compact"/>
        <w:numPr>
          <w:ilvl w:val="0"/>
          <w:numId w:val="1004"/>
        </w:numPr>
      </w:pPr>
      <w:r>
        <w:t xml:space="preserve">PostgreSQL поднят, миграции применены.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python main.py preflight --mode testnet</w:t>
      </w:r>
      <w:r>
        <w:t xml:space="preserve"> </w:t>
      </w:r>
      <w:r>
        <w:t xml:space="preserve">- PASS.</w:t>
      </w:r>
    </w:p>
    <w:p>
      <w:pPr>
        <w:pStyle w:val="Compact"/>
        <w:numPr>
          <w:ilvl w:val="0"/>
          <w:numId w:val="1004"/>
        </w:numPr>
      </w:pPr>
      <w:r>
        <w:t xml:space="preserve">Накоплено не менее 14 дней Phase 0 paper/shadow evidence.</w:t>
      </w:r>
    </w:p>
    <w:p>
      <w:pPr>
        <w:pStyle w:val="Compact"/>
        <w:numPr>
          <w:ilvl w:val="0"/>
          <w:numId w:val="1004"/>
        </w:numPr>
      </w:pPr>
      <w:r>
        <w:t xml:space="preserve">Нет unresolved CRITICAL/HIGH incidents.</w:t>
      </w:r>
    </w:p>
    <w:p>
      <w:pPr>
        <w:pStyle w:val="Compact"/>
        <w:numPr>
          <w:ilvl w:val="0"/>
          <w:numId w:val="1004"/>
        </w:numPr>
      </w:pPr>
      <w:r>
        <w:t xml:space="preserve">Есть evidence</w:t>
      </w:r>
      <w:r>
        <w:t xml:space="preserve"> </w:t>
      </w:r>
      <w:r>
        <w:rPr>
          <w:rStyle w:val="VerbatimChar"/>
        </w:rPr>
        <w:t xml:space="preserve">RECONCILIATION=PASS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SECURITY=PASS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CI=PASS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Есть подписанный</w:t>
      </w:r>
      <w:r>
        <w:t xml:space="preserve"> </w:t>
      </w:r>
      <w:r>
        <w:rPr>
          <w:rStyle w:val="VerbatimChar"/>
        </w:rPr>
        <w:t xml:space="preserve">GO_NO_GO=PASS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python main.py preflight --mode live</w:t>
      </w:r>
      <w:r>
        <w:t xml:space="preserve"> </w:t>
      </w:r>
      <w:r>
        <w:t xml:space="preserve">- PASS.</w:t>
      </w:r>
    </w:p>
    <w:p>
      <w:pPr>
        <w:pStyle w:val="Compact"/>
        <w:numPr>
          <w:ilvl w:val="0"/>
          <w:numId w:val="1004"/>
        </w:numPr>
      </w:pPr>
      <w:r>
        <w:t xml:space="preserve">API-ключи Bybit хранятся только server-side.</w:t>
      </w:r>
    </w:p>
    <w:p>
      <w:pPr>
        <w:pStyle w:val="Compact"/>
        <w:numPr>
          <w:ilvl w:val="0"/>
          <w:numId w:val="1004"/>
        </w:numPr>
      </w:pPr>
      <w:r>
        <w:t xml:space="preserve">Оператор понимает, что HTTP ack от Bybit не является fill; ACTIVE допустим только после reconciliation PASS и protection_state=VALID.</w:t>
      </w:r>
    </w:p>
    <w:bookmarkEnd w:id="28"/>
    <w:bookmarkStart w:id="29" w:name="что-запрещено"/>
    <w:p>
      <w:pPr>
        <w:pStyle w:val="Heading2"/>
      </w:pPr>
      <w:r>
        <w:t xml:space="preserve">Что запрещено</w:t>
      </w:r>
    </w:p>
    <w:p>
      <w:pPr>
        <w:pStyle w:val="Compact"/>
        <w:numPr>
          <w:ilvl w:val="0"/>
          <w:numId w:val="1005"/>
        </w:numPr>
      </w:pPr>
      <w:r>
        <w:t xml:space="preserve">Открывать сделку вручную в обход risk engine.</w:t>
      </w:r>
    </w:p>
    <w:p>
      <w:pPr>
        <w:pStyle w:val="Compact"/>
        <w:numPr>
          <w:ilvl w:val="0"/>
          <w:numId w:val="1005"/>
        </w:numPr>
      </w:pPr>
      <w:r>
        <w:t xml:space="preserve">Повторять submit с новым idempotency key после timeout.</w:t>
      </w:r>
    </w:p>
    <w:p>
      <w:pPr>
        <w:pStyle w:val="Compact"/>
        <w:numPr>
          <w:ilvl w:val="0"/>
          <w:numId w:val="1005"/>
        </w:numPr>
      </w:pPr>
      <w:r>
        <w:t xml:space="preserve">Увеличивать риск из-за просадки или желания быстрее выйти к цели.</w:t>
      </w:r>
    </w:p>
    <w:p>
      <w:pPr>
        <w:pStyle w:val="Compact"/>
        <w:numPr>
          <w:ilvl w:val="0"/>
          <w:numId w:val="1005"/>
        </w:numPr>
      </w:pPr>
      <w:r>
        <w:t xml:space="preserve">Включать carry/stat-arb live в Phase 0/1.</w:t>
      </w:r>
    </w:p>
    <w:p>
      <w:pPr>
        <w:pStyle w:val="Compact"/>
        <w:numPr>
          <w:ilvl w:val="0"/>
          <w:numId w:val="1005"/>
        </w:numPr>
      </w:pPr>
      <w:r>
        <w:t xml:space="preserve">Хранить ключи Bybit во frontend или отправлять их в браузер.</w:t>
      </w:r>
    </w:p>
    <w:p>
      <w:pPr>
        <w:pStyle w:val="Compact"/>
        <w:numPr>
          <w:ilvl w:val="0"/>
          <w:numId w:val="1005"/>
        </w:numPr>
      </w:pPr>
      <w:r>
        <w:t xml:space="preserve">Считать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ошибкой интерфейса без анализа причин.</w:t>
      </w:r>
    </w:p>
    <w:bookmarkEnd w:id="29"/>
    <w:bookmarkStart w:id="30" w:name="аварийные-действия"/>
    <w:p>
      <w:pPr>
        <w:pStyle w:val="Heading2"/>
      </w:pPr>
      <w:r>
        <w:t xml:space="preserve">Аварийные действия</w:t>
      </w:r>
    </w:p>
    <w:p>
      <w:pPr>
        <w:pStyle w:val="FirstParagraph"/>
      </w:pPr>
      <w:r>
        <w:t xml:space="preserve">Разрешены только действия, снижающие риск: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DISABLE_TRADING</w:t>
      </w:r>
      <w:r>
        <w:t xml:space="preserve"> </w:t>
      </w:r>
      <w:r>
        <w:t xml:space="preserve">- выключить новые входы.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CANCEL_OPEN_ENTRIES</w:t>
      </w:r>
      <w:r>
        <w:t xml:space="preserve"> </w:t>
      </w:r>
      <w:r>
        <w:t xml:space="preserve">- отменить открытые входные заявки.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FLATTEN_REDUCE</w:t>
      </w:r>
      <w:r>
        <w:t xml:space="preserve"> </w:t>
      </w:r>
      <w:r>
        <w:t xml:space="preserve">- уменьшить или закрыть риск через reduce-only.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RESOLVE_INCIDENT</w:t>
      </w:r>
      <w:r>
        <w:t xml:space="preserve"> </w:t>
      </w:r>
      <w:r>
        <w:t xml:space="preserve">- закрыть инцидент только после проверки.</w:t>
      </w:r>
    </w:p>
    <w:p>
      <w:pPr>
        <w:pStyle w:val="FirstParagraph"/>
      </w:pPr>
      <w:r>
        <w:t xml:space="preserve">Каждое действие требует</w:t>
      </w:r>
      <w:r>
        <w:t xml:space="preserve"> </w:t>
      </w:r>
      <w:r>
        <w:rPr>
          <w:rStyle w:val="VerbatimChar"/>
        </w:rPr>
        <w:t xml:space="preserve">OPERATOR_API_KEY</w:t>
      </w:r>
      <w:r>
        <w:t xml:space="preserve"> </w:t>
      </w:r>
      <w:r>
        <w:t xml:space="preserve">и понятную причину.</w:t>
      </w:r>
    </w:p>
    <w:bookmarkEnd w:id="30"/>
    <w:bookmarkStart w:id="31" w:name="интерактивная-справка-прямо-в-интерфейсе"/>
    <w:p>
      <w:pPr>
        <w:pStyle w:val="Heading2"/>
      </w:pPr>
      <w:r>
        <w:t xml:space="preserve">Интерактивная справка прямо в интерфейсе</w:t>
      </w:r>
    </w:p>
    <w:p>
      <w:pPr>
        <w:pStyle w:val="FirstParagraph"/>
      </w:pPr>
      <w:r>
        <w:t xml:space="preserve">В новой версии операторского модуля у каждого ключевого блока есть контекстная справка.</w:t>
      </w:r>
    </w:p>
    <w:p>
      <w:pPr>
        <w:pStyle w:val="BodyText"/>
      </w:pPr>
      <w:r>
        <w:t xml:space="preserve">Как пользоваться:</w:t>
      </w:r>
    </w:p>
    <w:p>
      <w:pPr>
        <w:pStyle w:val="Compact"/>
        <w:numPr>
          <w:ilvl w:val="0"/>
          <w:numId w:val="1007"/>
        </w:numPr>
      </w:pPr>
      <w:r>
        <w:t xml:space="preserve">Наведите мышь на непонятный блок: карточку допуска, блокер, шаг плана, символ, safe-action, результат paper или диагностику.</w:t>
      </w:r>
    </w:p>
    <w:p>
      <w:pPr>
        <w:pStyle w:val="Compact"/>
        <w:numPr>
          <w:ilvl w:val="0"/>
          <w:numId w:val="1007"/>
        </w:numPr>
      </w:pPr>
      <w:r>
        <w:t xml:space="preserve">Нажмите правую кнопку мыши.</w:t>
      </w:r>
    </w:p>
    <w:p>
      <w:pPr>
        <w:pStyle w:val="Compact"/>
        <w:numPr>
          <w:ilvl w:val="0"/>
          <w:numId w:val="1007"/>
        </w:numPr>
      </w:pPr>
      <w:r>
        <w:t xml:space="preserve">Выберите пункт</w:t>
      </w:r>
      <w:r>
        <w:t xml:space="preserve"> </w:t>
      </w:r>
      <w:r>
        <w:rPr>
          <w:b/>
          <w:bCs/>
        </w:rPr>
        <w:t xml:space="preserve">«Вызвать справку»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Прочитайте диалог: там указано, что означает блок, что делать оператору, когда состояние считается нормой и чего нельзя делать.</w:t>
      </w:r>
    </w:p>
    <w:p>
      <w:pPr>
        <w:pStyle w:val="FirstParagraph"/>
      </w:pPr>
      <w:r>
        <w:t xml:space="preserve">Примеры:</w:t>
      </w:r>
    </w:p>
    <w:p>
      <w:pPr>
        <w:pStyle w:val="Compact"/>
        <w:numPr>
          <w:ilvl w:val="0"/>
          <w:numId w:val="1008"/>
        </w:numPr>
      </w:pPr>
      <w:r>
        <w:t xml:space="preserve">Правая кнопка по карточке</w:t>
      </w:r>
      <w:r>
        <w:t xml:space="preserve"> </w:t>
      </w:r>
      <w:r>
        <w:rPr>
          <w:b/>
          <w:bCs/>
        </w:rPr>
        <w:t xml:space="preserve">Live gate</w:t>
      </w:r>
      <w:r>
        <w:t xml:space="preserve"> </w:t>
      </w:r>
      <w:r>
        <w:t xml:space="preserve">объяснит, почему live закрыт и какие gates нужно пройти.</w:t>
      </w:r>
    </w:p>
    <w:p>
      <w:pPr>
        <w:pStyle w:val="Compact"/>
        <w:numPr>
          <w:ilvl w:val="0"/>
          <w:numId w:val="1008"/>
        </w:numPr>
      </w:pPr>
      <w:r>
        <w:t xml:space="preserve">Правая кнопка по символу</w:t>
      </w:r>
      <w:r>
        <w:t xml:space="preserve"> </w:t>
      </w:r>
      <w:r>
        <w:rPr>
          <w:b/>
          <w:bCs/>
        </w:rPr>
        <w:t xml:space="preserve">BTCUSDT</w:t>
      </w:r>
      <w:r>
        <w:t xml:space="preserve"> </w:t>
      </w:r>
      <w:r>
        <w:t xml:space="preserve">объяснит его</w:t>
      </w:r>
      <w:r>
        <w:t xml:space="preserve"> </w:t>
      </w:r>
      <w:r>
        <w:rPr>
          <w:rStyle w:val="VerbatimChar"/>
        </w:rPr>
        <w:t xml:space="preserve">status_effective</w:t>
      </w:r>
      <w:r>
        <w:t xml:space="preserve">, причины вроде</w:t>
      </w:r>
      <w:r>
        <w:t xml:space="preserve"> </w:t>
      </w:r>
      <w:r>
        <w:rPr>
          <w:rStyle w:val="VerbatimChar"/>
        </w:rPr>
        <w:t xml:space="preserve">stale_market</w:t>
      </w:r>
      <w:r>
        <w:t xml:space="preserve">, разрешенные действия и Trace ID.</w:t>
      </w:r>
    </w:p>
    <w:p>
      <w:pPr>
        <w:pStyle w:val="Compact"/>
        <w:numPr>
          <w:ilvl w:val="0"/>
          <w:numId w:val="1008"/>
        </w:numPr>
      </w:pPr>
      <w:r>
        <w:t xml:space="preserve">Правая кнопка по шагу</w:t>
      </w:r>
      <w:r>
        <w:t xml:space="preserve"> </w:t>
      </w:r>
      <w:r>
        <w:rPr>
          <w:b/>
          <w:bCs/>
        </w:rPr>
        <w:t xml:space="preserve">PostgreSQL и миграции</w:t>
      </w:r>
      <w:r>
        <w:t xml:space="preserve"> </w:t>
      </w:r>
      <w:r>
        <w:t xml:space="preserve">покажет команду и критерий PASS.</w:t>
      </w:r>
    </w:p>
    <w:p>
      <w:pPr>
        <w:pStyle w:val="Compact"/>
        <w:numPr>
          <w:ilvl w:val="0"/>
          <w:numId w:val="1008"/>
        </w:numPr>
      </w:pPr>
      <w:r>
        <w:t xml:space="preserve">Правая кнопка по действию</w:t>
      </w:r>
      <w:r>
        <w:t xml:space="preserve"> </w:t>
      </w:r>
      <w:r>
        <w:rPr>
          <w:b/>
          <w:bCs/>
        </w:rPr>
        <w:t xml:space="preserve">Снизить / закрыть риск</w:t>
      </w:r>
      <w:r>
        <w:t xml:space="preserve"> </w:t>
      </w:r>
      <w:r>
        <w:t xml:space="preserve">объяснит, когда его можно применять и почему оно не является торговой кнопкой.</w:t>
      </w:r>
    </w:p>
    <w:p>
      <w:pPr>
        <w:pStyle w:val="FirstParagraph"/>
      </w:pPr>
      <w:r>
        <w:t xml:space="preserve">Кнопка</w:t>
      </w:r>
      <w:r>
        <w:t xml:space="preserve"> </w:t>
      </w:r>
      <w:r>
        <w:rPr>
          <w:b/>
          <w:bCs/>
        </w:rPr>
        <w:t xml:space="preserve">«Справка»</w:t>
      </w:r>
      <w:r>
        <w:t xml:space="preserve"> </w:t>
      </w:r>
      <w:r>
        <w:t xml:space="preserve">в верхней панели открывает общую справку по экрану.</w:t>
      </w:r>
    </w:p>
    <w:bookmarkEnd w:id="31"/>
    <w:bookmarkStart w:id="32" w:name="что-делать-с-результатами-команд"/>
    <w:p>
      <w:pPr>
        <w:pStyle w:val="Heading2"/>
      </w:pPr>
      <w:r>
        <w:t xml:space="preserve">Что делать с результатами команд</w:t>
      </w:r>
    </w:p>
    <w:p>
      <w:pPr>
        <w:pStyle w:val="FirstParagraph"/>
      </w:pPr>
      <w:r>
        <w:t xml:space="preserve">В Операционном центре смотрите не только на текст stdout/stderr, но и на статус карточки: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означает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прошла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Переходите к следующему шагу плана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безопасно не дала пройти дальше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Читайте</w:t>
            </w:r>
            <w:r>
              <w:t xml:space="preserve"> </w:t>
            </w:r>
            <w:r>
              <w:rPr>
                <w:rStyle w:val="VerbatimChar"/>
              </w:rPr>
              <w:t xml:space="preserve">reasons</w:t>
            </w:r>
            <w:r>
              <w:t xml:space="preserve">, исправляйте причину и повторяйте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исполнения, traceback или упавший 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Остановитесь, исправьте код/настройки, live запрещен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зависла или не уложилась во 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Проверьте PostgreSQL, сеть, зависимости и повторите</w:t>
            </w:r>
          </w:p>
        </w:tc>
      </w:tr>
    </w:tbl>
    <w:p>
      <w:pPr>
        <w:pStyle w:val="BodyText"/>
      </w:pPr>
      <w:r>
        <w:t xml:space="preserve">Если preflight показывает</w:t>
      </w:r>
      <w:r>
        <w:t xml:space="preserve"> </w:t>
      </w:r>
      <w:r>
        <w:rPr>
          <w:rStyle w:val="VerbatimChar"/>
        </w:rPr>
        <w:t xml:space="preserve">incidents_table_missing_or_migrations_not_applied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go_no_go_tables_missing_or_migrations_not_applied</w:t>
      </w:r>
      <w:r>
        <w:t xml:space="preserve">, нажмите</w:t>
      </w:r>
      <w:r>
        <w:t xml:space="preserve"> </w:t>
      </w:r>
      <w:r>
        <w:rPr>
          <w:b/>
          <w:bCs/>
        </w:rPr>
        <w:t xml:space="preserve">PostgreSQL: применить migrations</w:t>
      </w:r>
      <w:r>
        <w:t xml:space="preserve">. До этого live-проверка не обязана проходить.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2026-05-12T22:02:16Z</dcterms:created>
  <dcterms:modified xsi:type="dcterms:W3CDTF">2026-05-12T22:02:16Z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