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40"/>
        </w:rPr>
        <w:t>Crypto Acceleration System 2026</w:t>
      </w:r>
    </w:p>
    <w:p>
      <w:pPr>
        <w:jc w:val="center"/>
      </w:pPr>
      <w:r>
        <w:rPr>
          <w:rFonts w:ascii="Arial" w:hAnsi="Arial"/>
          <w:sz w:val="24"/>
        </w:rPr>
        <w:t>Руководство оператора · версия с компактным Операционным центром</w:t>
      </w:r>
    </w:p>
    <w:p>
      <w:pPr>
        <w:pStyle w:val="Heading1"/>
      </w:pPr>
      <w:r>
        <w:t>1. Смысл экрана</w:t>
      </w:r>
    </w:p>
    <w:p>
      <w:r>
        <w:t>Операторский модуль не является торговым терминалом для ручного открытия сделок. Он показывает состояние backend, объясняет блокировки и позволяет запускать только безопасные проверки и risk-reducing действия.</w:t>
      </w:r>
    </w:p>
    <w:p>
      <w:r>
        <w:t>Главное правило: если live blocked, это нормальное fail-closed состояние до полного PASS. Не нужно искать обходной путь.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2232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Блок экрана</w:t>
            </w:r>
          </w:p>
        </w:tc>
        <w:tc>
          <w:tcPr>
            <w:tcW w:type="dxa" w:w="432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Что означает</w:t>
            </w:r>
          </w:p>
        </w:tc>
        <w:tc>
          <w:tcPr>
            <w:tcW w:type="dxa" w:w="3168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Что делает оператор</w:t>
            </w:r>
          </w:p>
        </w:tc>
      </w:tr>
      <w:tr>
        <w:tc>
          <w:tcPr>
            <w:tcW w:type="dxa" w:w="223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Главный статус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Один главный ответ backend: безопасный режим, blocked или live-ready.</w:t>
            </w:r>
          </w:p>
        </w:tc>
        <w:tc>
          <w:tcPr>
            <w:tcW w:type="dxa" w:w="316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Читает “Что делать сейчас”.</w:t>
            </w:r>
          </w:p>
        </w:tc>
      </w:tr>
      <w:tr>
        <w:tc>
          <w:tcPr>
            <w:tcW w:type="dxa" w:w="223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Панель допуска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Компактные индикаторы торговли, БД, risk, live gate, фазы и ML.</w:t>
            </w:r>
          </w:p>
        </w:tc>
        <w:tc>
          <w:tcPr>
            <w:tcW w:type="dxa" w:w="316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Смотрит красные/желтые индикаторы.</w:t>
            </w:r>
          </w:p>
        </w:tc>
      </w:tr>
      <w:tr>
        <w:tc>
          <w:tcPr>
            <w:tcW w:type="dxa" w:w="223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Операционный центр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Единый план и кнопки запуска команд.</w:t>
            </w:r>
          </w:p>
        </w:tc>
        <w:tc>
          <w:tcPr>
            <w:tcW w:type="dxa" w:w="316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Вводит ключ, причину и запускает нужный шаг.</w:t>
            </w:r>
          </w:p>
        </w:tc>
      </w:tr>
      <w:tr>
        <w:tc>
          <w:tcPr>
            <w:tcW w:type="dxa" w:w="223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Что мешает запуску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Причины блокировки от backend.</w:t>
            </w:r>
          </w:p>
        </w:tc>
        <w:tc>
          <w:tcPr>
            <w:tcW w:type="dxa" w:w="316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Исправляет причины и повторяет проверку.</w:t>
            </w:r>
          </w:p>
        </w:tc>
      </w:tr>
      <w:tr>
        <w:tc>
          <w:tcPr>
            <w:tcW w:type="dxa" w:w="2232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Символы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Статус BTCUSDT/ETHUSDT/SOLUSDT из backend status_effective.</w:t>
            </w:r>
          </w:p>
        </w:tc>
        <w:tc>
          <w:tcPr>
            <w:tcW w:type="dxa" w:w="316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Выбирает символ и читает детали справа.</w:t>
            </w:r>
          </w:p>
        </w:tc>
      </w:tr>
    </w:tbl>
    <w:p>
      <w:pPr>
        <w:pStyle w:val="Heading1"/>
      </w:pPr>
      <w:r>
        <w:t>2. Как запускать команды из интерфейса</w:t>
      </w:r>
    </w:p>
    <w:p>
      <w:r>
        <w:t>В новой версии рядом с черным полем команды на карточке плана есть кнопка запуска. Если кнопки нет, шаг требует ручной записи evidence или длительного paper/shadow периода.</w:t>
      </w:r>
    </w:p>
    <w:p>
      <w:pPr>
        <w:pStyle w:val="ListNumber"/>
      </w:pPr>
      <w:r>
        <w:t>Введите OPERATOR_API_KEY в блоке “Операционный центр: план и запуск”.</w:t>
      </w:r>
    </w:p>
    <w:p>
      <w:pPr>
        <w:pStyle w:val="ListNumber"/>
      </w:pPr>
      <w:r>
        <w:t>Введите понятную причину запуска: например, “проверка после исправления тестов” или “миграции PostgreSQL”.</w:t>
      </w:r>
    </w:p>
    <w:p>
      <w:pPr>
        <w:pStyle w:val="ListNumber"/>
      </w:pPr>
      <w:r>
        <w:t>Нажмите “Запустить” или кнопку ▶ рядом с черным полем команды.</w:t>
      </w:r>
    </w:p>
    <w:p>
      <w:pPr>
        <w:pStyle w:val="ListNumber"/>
      </w:pPr>
      <w:r>
        <w:t>Дождитесь результата job. Смотрите не только stdout/stderr, но и статус: ok, blocked, error или timeout.</w:t>
      </w:r>
    </w:p>
    <w:p>
      <w:pPr>
        <w:pStyle w:val="ListNumber"/>
      </w:pPr>
      <w:r>
        <w:t>После исправления причины нажмите “Обновить” или повторите нужную команду.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1584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Статус job</w:t>
            </w:r>
          </w:p>
        </w:tc>
        <w:tc>
          <w:tcPr>
            <w:tcW w:type="dxa" w:w="3888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Что значит</w:t>
            </w:r>
          </w:p>
        </w:tc>
        <w:tc>
          <w:tcPr>
            <w:tcW w:type="dxa" w:w="432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Что делать</w:t>
            </w:r>
          </w:p>
        </w:tc>
      </w:tr>
      <w:tr>
        <w:tc>
          <w:tcPr>
            <w:tcW w:type="dxa" w:w="158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ok</w:t>
            </w:r>
          </w:p>
        </w:tc>
        <w:tc>
          <w:tcPr>
            <w:tcW w:type="dxa" w:w="388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Команда реально прошла.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Переходить к следующему шагу.</w:t>
            </w:r>
          </w:p>
        </w:tc>
      </w:tr>
      <w:tr>
        <w:tc>
          <w:tcPr>
            <w:tcW w:type="dxa" w:w="158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blocked</w:t>
            </w:r>
          </w:p>
        </w:tc>
        <w:tc>
          <w:tcPr>
            <w:tcW w:type="dxa" w:w="388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Система безопасно не дала пройти дальше.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Читать reasons, исправлять причину, повторить.</w:t>
            </w:r>
          </w:p>
        </w:tc>
      </w:tr>
      <w:tr>
        <w:tc>
          <w:tcPr>
            <w:tcW w:type="dxa" w:w="158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error</w:t>
            </w:r>
          </w:p>
        </w:tc>
        <w:tc>
          <w:tcPr>
            <w:tcW w:type="dxa" w:w="388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Traceback, pytest failure или ошибка исполнения.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Остановиться, исправить код/настройки. Live запрещен.</w:t>
            </w:r>
          </w:p>
        </w:tc>
      </w:tr>
      <w:tr>
        <w:tc>
          <w:tcPr>
            <w:tcW w:type="dxa" w:w="158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timeout</w:t>
            </w:r>
          </w:p>
        </w:tc>
        <w:tc>
          <w:tcPr>
            <w:tcW w:type="dxa" w:w="388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Команда не уложилась во время.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Проверить БД, сеть, зависимости.</w:t>
            </w:r>
          </w:p>
        </w:tc>
      </w:tr>
    </w:tbl>
    <w:p>
      <w:pPr>
        <w:pStyle w:val="Heading1"/>
      </w:pPr>
      <w:r>
        <w:t>3. Команды в плане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216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Шаг</w:t>
            </w:r>
          </w:p>
        </w:tc>
        <w:tc>
          <w:tcPr>
            <w:tcW w:type="dxa" w:w="3384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Команда</w:t>
            </w:r>
          </w:p>
        </w:tc>
        <w:tc>
          <w:tcPr>
            <w:tcW w:type="dxa" w:w="432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Когда PASS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1. Локальная проверка кода</w:t>
            </w:r>
          </w:p>
        </w:tc>
        <w:tc>
          <w:tcPr>
            <w:tcW w:type="dxa" w:w="338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python main.py validate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Все тесты, architecture checks, migration checks и secret scan прошли.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2. Testnet preflight</w:t>
            </w:r>
          </w:p>
        </w:tc>
        <w:tc>
          <w:tcPr>
            <w:tcW w:type="dxa" w:w="338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python main.py preflight --mode testnet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status=ok. Testnet не требует live-submit и Go/No-Go.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3. PostgreSQL и миграции</w:t>
            </w:r>
          </w:p>
        </w:tc>
        <w:tc>
          <w:tcPr>
            <w:tcW w:type="dxa" w:w="338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python scripts/bootstrap_db.py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database_available=true, таблицы incidents/go_no_go_evidence существуют.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4. Paper/shadow 14+ дней</w:t>
            </w:r>
          </w:p>
        </w:tc>
        <w:tc>
          <w:tcPr>
            <w:tcW w:type="dxa" w:w="338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запись PHASE0_PAPER evidence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Накоплены 14+ дней, нет unresolved incidents, reconciliation PASS.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5. Go/No-Go PASS</w:t>
            </w:r>
          </w:p>
        </w:tc>
        <w:tc>
          <w:tcPr>
            <w:tcW w:type="dxa" w:w="338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запись GO_NO_GO evidence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Есть approved-by и signed Go/No-Go PASS.</w:t>
            </w:r>
          </w:p>
        </w:tc>
      </w:tr>
      <w:tr>
        <w:tc>
          <w:tcPr>
            <w:tcW w:type="dxa" w:w="216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6. Live preflight</w:t>
            </w:r>
          </w:p>
        </w:tc>
        <w:tc>
          <w:tcPr>
            <w:tcW w:type="dxa" w:w="3384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python main.py preflight --mode live</w:t>
            </w:r>
          </w:p>
        </w:tc>
        <w:tc>
          <w:tcPr>
            <w:tcW w:type="dxa" w:w="432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status=ok, все checks=true, unresolved CRITICAL/HIGH=0.</w:t>
            </w:r>
          </w:p>
        </w:tc>
      </w:tr>
    </w:tbl>
    <w:p>
      <w:pPr>
        <w:pStyle w:val="Heading1"/>
      </w:pPr>
      <w:r>
        <w:t>4. Testnet и live: не путать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56"/>
        <w:gridCol w:w="3456"/>
        <w:gridCol w:w="3456"/>
      </w:tblGrid>
      <w:tr>
        <w:tc>
          <w:tcPr>
            <w:tcW w:type="dxa" w:w="1656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Режим</w:t>
            </w:r>
          </w:p>
        </w:tc>
        <w:tc>
          <w:tcPr>
            <w:tcW w:type="dxa" w:w="4608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Что проверяет</w:t>
            </w:r>
          </w:p>
        </w:tc>
        <w:tc>
          <w:tcPr>
            <w:tcW w:type="dxa" w:w="3600"/>
            <w:vAlign w:val="center"/>
            <w:shd w:fill="D9EAF7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/>
                <w:sz w:val="18"/>
              </w:rPr>
              <w:t>Чего НЕ требует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testnet</w:t>
            </w:r>
          </w:p>
        </w:tc>
        <w:tc>
          <w:tcPr>
            <w:tcW w:type="dxa" w:w="460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PostgreSQL, migrations, testnet endpoint, testnet Bybit credentials, runtime checks, unresolved incidents.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Не требует CAS_ENABLE_LIVE_SUBMIT, live Go/No-Go и 14 дней paper evidence.</w:t>
            </w:r>
          </w:p>
        </w:tc>
      </w:tr>
      <w:tr>
        <w:tc>
          <w:tcPr>
            <w:tcW w:type="dxa" w:w="1656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live</w:t>
            </w:r>
          </w:p>
        </w:tc>
        <w:tc>
          <w:tcPr>
            <w:tcW w:type="dxa" w:w="4608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Все live gates: DB, Bybit runtime, paper/shadow evidence, security/CI/reconciliation evidence, Go/No-Go, отсутствие CRITICAL/HIGH.</w:t>
            </w:r>
          </w:p>
        </w:tc>
        <w:tc>
          <w:tcPr>
            <w:tcW w:type="dxa" w:w="3600"/>
            <w:vAlign w:val="center"/>
          </w:tcPr>
          <w:p>
            <w:r>
              <w:rPr>
                <w:rFonts w:ascii="Arial" w:hAnsi="Arial"/>
                <w:sz w:val="18"/>
              </w:rPr>
            </w:r>
            <w:r>
              <w:rPr>
                <w:rFonts w:ascii="Arial" w:hAnsi="Arial"/>
                <w:b w:val="0"/>
                <w:sz w:val="18"/>
              </w:rPr>
              <w:t>Не имеет послаблений. До PASS обязан быть blocked.</w:t>
            </w:r>
          </w:p>
        </w:tc>
      </w:tr>
    </w:tbl>
    <w:p>
      <w:r>
        <w:t>Если testnet preflight blocked, причины должны быть уровня “нет PostgreSQL”, “нет testnet credentials”, “migrations not applied”, “unresolved incidents” или “Bybit runtime check failed”. Если видите live-submit/Go-No-Go причины в testnet — это ошибка старой версии.</w:t>
      </w:r>
    </w:p>
    <w:p>
      <w:pPr>
        <w:pStyle w:val="Heading1"/>
      </w:pPr>
      <w:r>
        <w:t>5. Что запрещено оператору</w:t>
      </w:r>
    </w:p>
    <w:p>
      <w:pPr>
        <w:pStyle w:val="ListBullet"/>
      </w:pPr>
      <w:r>
        <w:t>Открывать сделки вручную в обход risk engine.</w:t>
      </w:r>
    </w:p>
    <w:p>
      <w:pPr>
        <w:pStyle w:val="ListBullet"/>
      </w:pPr>
      <w:r>
        <w:t>Повторять submit с новым idempotency key после timeout.</w:t>
      </w:r>
    </w:p>
    <w:p>
      <w:pPr>
        <w:pStyle w:val="ListBullet"/>
      </w:pPr>
      <w:r>
        <w:t>Включать live-submit, если live preflight blocked.</w:t>
      </w:r>
    </w:p>
    <w:p>
      <w:pPr>
        <w:pStyle w:val="ListBullet"/>
      </w:pPr>
      <w:r>
        <w:t>Повышать risk_pct или leverage ради восстановления просадки.</w:t>
      </w:r>
    </w:p>
    <w:p>
      <w:pPr>
        <w:pStyle w:val="ListBullet"/>
      </w:pPr>
      <w:r>
        <w:t>Использовать carry/stat-arb live в Phase 0/1.</w:t>
      </w:r>
    </w:p>
    <w:p>
      <w:pPr>
        <w:pStyle w:val="ListBullet"/>
      </w:pPr>
      <w:r>
        <w:t>Хранить Bybit-ключи во frontend или вставлять их в браузерный код.</w:t>
      </w:r>
    </w:p>
    <w:p>
      <w:pPr>
        <w:pStyle w:val="Heading1"/>
      </w:pPr>
      <w:r>
        <w:t>6. Контекстная справка</w:t>
      </w:r>
    </w:p>
    <w:p>
      <w:r>
        <w:t>Правая кнопка мыши по любому ключевому блоку открывает меню “Вызвать справку”. В диалоге будет объяснено, что означает компонент, что делать сейчас, когда состояние нормально и чего нельзя делать.</w:t>
      </w:r>
    </w:p>
    <w:p>
      <w:r>
        <w:t>Кнопка “Справка” в верхней панели открывает общую справку по экрану.</w:t>
      </w:r>
    </w:p>
    <w:p>
      <w:pPr>
        <w:pStyle w:val="Heading1"/>
      </w:pPr>
      <w:r>
        <w:t>7. Минимальный путь до live</w:t>
      </w:r>
    </w:p>
    <w:p>
      <w:pPr>
        <w:pStyle w:val="ListNumber"/>
      </w:pPr>
      <w:r>
        <w:t>validate PASS.</w:t>
      </w:r>
    </w:p>
    <w:p>
      <w:pPr>
        <w:pStyle w:val="ListNumber"/>
      </w:pPr>
      <w:r>
        <w:t>PostgreSQL поднят, migrations применены.</w:t>
      </w:r>
    </w:p>
    <w:p>
      <w:pPr>
        <w:pStyle w:val="ListNumber"/>
      </w:pPr>
      <w:r>
        <w:t>testnet preflight PASS.</w:t>
      </w:r>
    </w:p>
    <w:p>
      <w:pPr>
        <w:pStyle w:val="ListNumber"/>
      </w:pPr>
      <w:r>
        <w:t>14+ дней Phase 0 paper/shadow evidence.</w:t>
      </w:r>
    </w:p>
    <w:p>
      <w:pPr>
        <w:pStyle w:val="ListNumber"/>
      </w:pPr>
      <w:r>
        <w:t>reconciliation/security/CI evidence PASS.</w:t>
      </w:r>
    </w:p>
    <w:p>
      <w:pPr>
        <w:pStyle w:val="ListNumber"/>
      </w:pPr>
      <w:r>
        <w:t>Go/No-Go PASS с approved-by.</w:t>
      </w:r>
    </w:p>
    <w:p>
      <w:pPr>
        <w:pStyle w:val="ListNumber"/>
      </w:pPr>
      <w:r>
        <w:t>live preflight PASS.</w:t>
      </w:r>
    </w:p>
    <w:p>
      <w:pPr>
        <w:pStyle w:val="ListNumber"/>
      </w:pPr>
      <w:r>
        <w:t>Каждый order имеет approved non-expired RiskDecision, idempotency и verified protection/reconciliation.</w:t>
      </w:r>
    </w:p>
    <w:sectPr w:rsidR="00FC693F" w:rsidRPr="0006063C" w:rsidSect="00034616">
      <w:pgSz w:w="12240" w:h="15840"/>
      <w:pgMar w:top="792" w:right="936" w:bottom="792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