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4.xml" ContentType="application/vnd.openxmlformats-officedocument.wordprocessingml.header+xml"/>
  <Override PartName="/word/header1.xml" ContentType="application/vnd.openxmlformats-officedocument.wordprocessingml.header+xml"/>
  <Override PartName="/word/header2.xml" ContentType="application/vnd.openxmlformats-officedocument.wordprocessingml.header+xml"/>
  <Override PartName="/word/header5.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media/rId40.png" ContentType="image/png"/>
  <Override PartName="/word/media/rId39.png" ContentType="image/png"/>
  <Override PartName="/word/media/rId41.png" ContentType="image/png"/>
  <Override PartName="/word/media/rId42.png" ContentType="image/png"/>
  <Override PartName="/word/media/rId56.png" ContentType="image/png"/>
  <Override PartName="/word/media/rId57.png" ContentType="image/png"/>
  <Override PartName="/word/media/rId35.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9.png" ContentType="image/png"/>
  <Override PartName="/word/media/image1.png" ContentType="image/png"/>
  <Override PartName="/word/media/image2.png" ContentType="image/png"/>
  <Override PartName="/word/media/image3.png" ContentType="image/png"/>
  <Override PartName="/word/media/image5.png" ContentType="image/png"/>
  <Override PartName="/word/media/image4.png" ContentType="image/png"/>
  <Override PartName="/word/media/image6.png" ContentType="image/png"/>
  <Override PartName="/word/media/image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p>
    <w:p>
      <w:pPr>
        <w:pStyle w:val="Heading4"/>
        <w:pStyle w:val="Abstract"/>
      </w:pPr>
      <w:bookmarkStart w:id="20" w:name="----"/>
      <w:r>
        <w:t xml:space="preserve">Міністерство</w:t>
      </w:r>
      <w:r>
        <w:t xml:space="preserve"> </w:t>
      </w:r>
      <w:r>
        <w:t xml:space="preserve">освіти</w:t>
      </w:r>
      <w:r>
        <w:t xml:space="preserve"> </w:t>
      </w:r>
      <w:r>
        <w:t xml:space="preserve">і</w:t>
      </w:r>
      <w:r>
        <w:t xml:space="preserve"> </w:t>
      </w:r>
      <w:r>
        <w:t xml:space="preserve">науки</w:t>
      </w:r>
      <w:r>
        <w:t xml:space="preserve"> </w:t>
      </w:r>
      <w:r>
        <w:t xml:space="preserve">України</w:t>
      </w:r>
      <w:bookmarkEnd w:id="20"/>
    </w:p>
    <w:p>
      <w:pPr>
        <w:pStyle w:val="Heading4"/>
        <w:pStyle w:val="Abstract"/>
      </w:pPr>
      <w:bookmarkStart w:id="21" w:name="-----"/>
      <w:r>
        <w:t xml:space="preserve">Київський</w:t>
      </w:r>
      <w:r>
        <w:t xml:space="preserve"> </w:t>
      </w:r>
      <w:r>
        <w:t xml:space="preserve">національний</w:t>
      </w:r>
      <w:r>
        <w:t xml:space="preserve"> </w:t>
      </w:r>
      <w:r>
        <w:t xml:space="preserve">університет</w:t>
      </w:r>
      <w:r>
        <w:t xml:space="preserve"> </w:t>
      </w:r>
      <w:r>
        <w:t xml:space="preserve">імені</w:t>
      </w:r>
      <w:r>
        <w:t xml:space="preserve"> </w:t>
      </w:r>
      <w:r>
        <w:t xml:space="preserve">Тараса</w:t>
      </w:r>
      <w:r>
        <w:t xml:space="preserve"> </w:t>
      </w:r>
      <w:r>
        <w:t xml:space="preserve">Шевченка</w:t>
      </w:r>
      <w:bookmarkEnd w:id="21"/>
    </w:p>
    <w:p>
      <w:pPr>
        <w:pStyle w:val="Heading4"/>
        <w:pStyle w:val="Abstract"/>
      </w:pPr>
      <w:bookmarkStart w:id="22" w:name="-"/>
      <w:r>
        <w:t xml:space="preserve">факультет</w:t>
      </w:r>
      <w:r>
        <w:t xml:space="preserve"> </w:t>
      </w:r>
      <w:r>
        <w:t xml:space="preserve">соціології</w:t>
      </w:r>
      <w:bookmarkEnd w:id="22"/>
    </w:p>
    <w:p>
      <w:pPr>
        <w:pStyle w:val="Heading4"/>
        <w:pStyle w:val="Abstract"/>
      </w:pPr>
      <w:bookmarkStart w:id="23" w:name="----"/>
      <w:r>
        <w:t xml:space="preserve">кафедра</w:t>
      </w:r>
      <w:r>
        <w:t xml:space="preserve"> </w:t>
      </w:r>
      <w:r>
        <w:t xml:space="preserve">теорії</w:t>
      </w:r>
      <w:r>
        <w:t xml:space="preserve"> </w:t>
      </w:r>
      <w:r>
        <w:t xml:space="preserve">й</w:t>
      </w:r>
      <w:r>
        <w:t xml:space="preserve"> </w:t>
      </w:r>
      <w:r>
        <w:t xml:space="preserve">історії</w:t>
      </w:r>
      <w:r>
        <w:t xml:space="preserve"> </w:t>
      </w:r>
      <w:r>
        <w:t xml:space="preserve">соціології</w:t>
      </w:r>
      <w:bookmarkEnd w:id="23"/>
    </w:p>
    <w:p>
      <w:pPr>
        <w:pStyle w:val="Heading2"/>
        <w:pStyle w:val="Abstract"/>
      </w:pPr>
      <w:bookmarkStart w:id="24" w:name="-"/>
      <w:r>
        <w:t xml:space="preserve">КВАЛІФІКАЦІЙНА</w:t>
      </w:r>
      <w:r>
        <w:t xml:space="preserve"> </w:t>
      </w:r>
      <w:r>
        <w:t xml:space="preserve">РОБОТА</w:t>
      </w:r>
      <w:bookmarkEnd w:id="24"/>
    </w:p>
    <w:p>
      <w:pPr>
        <w:pStyle w:val="Heading4"/>
        <w:pStyle w:val="Abstract"/>
      </w:pPr>
      <w:bookmarkStart w:id="25" w:name="-"/>
      <w:r>
        <w:t xml:space="preserve">на</w:t>
      </w:r>
      <w:r>
        <w:t xml:space="preserve"> </w:t>
      </w:r>
      <w:r>
        <w:t xml:space="preserve">тему:</w:t>
      </w:r>
      <w:bookmarkEnd w:id="25"/>
    </w:p>
    <w:p>
      <w:pPr>
        <w:pStyle w:val="Heading2"/>
        <w:pStyle w:val="Abstract"/>
      </w:pPr>
      <w:bookmarkStart w:id="26" w:name="--------"/>
      <w:r>
        <w:t xml:space="preserve">«Географічний</w:t>
      </w:r>
      <w:r>
        <w:t xml:space="preserve"> </w:t>
      </w:r>
      <w:r>
        <w:t xml:space="preserve">розподіл</w:t>
      </w:r>
      <w:r>
        <w:t xml:space="preserve"> </w:t>
      </w:r>
      <w:r>
        <w:t xml:space="preserve">соціальних</w:t>
      </w:r>
      <w:r>
        <w:t xml:space="preserve"> </w:t>
      </w:r>
      <w:r>
        <w:t xml:space="preserve">цінностей</w:t>
      </w:r>
      <w:r>
        <w:t xml:space="preserve"> </w:t>
      </w:r>
      <w:r>
        <w:t xml:space="preserve">у</w:t>
      </w:r>
      <w:r>
        <w:t xml:space="preserve"> </w:t>
      </w:r>
      <w:r>
        <w:t xml:space="preserve">Європі:</w:t>
      </w:r>
      <w:r>
        <w:t xml:space="preserve"> </w:t>
      </w:r>
      <w:r>
        <w:t xml:space="preserve">фактори</w:t>
      </w:r>
      <w:r>
        <w:t xml:space="preserve"> </w:t>
      </w:r>
      <w:r>
        <w:t xml:space="preserve">та</w:t>
      </w:r>
      <w:r>
        <w:t xml:space="preserve"> </w:t>
      </w:r>
      <w:r>
        <w:t xml:space="preserve">закономірності»</w:t>
      </w:r>
      <w:bookmarkEnd w:id="26"/>
    </w:p>
    <w:p>
      <w:pPr>
        <w:pStyle w:val="Abstract"/>
      </w:pPr>
      <w:r>
        <w:t xml:space="preserve">Спеціальність:</w:t>
      </w:r>
      <w:r>
        <w:t xml:space="preserve"> </w:t>
      </w:r>
      <w:r>
        <w:t xml:space="preserve">054</w:t>
      </w:r>
      <w:r>
        <w:t xml:space="preserve"> </w:t>
      </w:r>
      <w:r>
        <w:t xml:space="preserve">«Соціологія»</w:t>
      </w:r>
    </w:p>
    <w:p>
      <w:pPr>
        <w:pStyle w:val="Abstract"/>
      </w:pPr>
      <w:r>
        <w:t xml:space="preserve">Освітня</w:t>
      </w:r>
      <w:r>
        <w:t xml:space="preserve"> </w:t>
      </w:r>
      <w:r>
        <w:t xml:space="preserve">програма</w:t>
      </w:r>
      <w:r>
        <w:t xml:space="preserve"> </w:t>
      </w:r>
      <w:r>
        <w:t xml:space="preserve">«Соціологія»</w:t>
      </w:r>
    </w:p>
    <w:p>
      <w:pPr>
        <w:pStyle w:val="Abstract"/>
      </w:pPr>
      <w:r>
        <w:t xml:space="preserve">Освітній</w:t>
      </w:r>
      <w:r>
        <w:t xml:space="preserve"> </w:t>
      </w:r>
      <w:r>
        <w:t xml:space="preserve">рівень:</w:t>
      </w:r>
      <w:r>
        <w:t xml:space="preserve"> </w:t>
      </w:r>
      <w:r>
        <w:t xml:space="preserve">магістр</w:t>
      </w:r>
    </w:p>
    <w:p>
      <w:pPr>
        <w:pStyle w:val="Abstract"/>
      </w:pPr>
      <w:r>
        <w:t xml:space="preserve">Кваліфікація:</w:t>
      </w:r>
      <w:r>
        <w:t xml:space="preserve"> </w:t>
      </w:r>
      <w:r>
        <w:t xml:space="preserve">магістр</w:t>
      </w:r>
      <w:r>
        <w:t xml:space="preserve"> </w:t>
      </w:r>
      <w:r>
        <w:t xml:space="preserve">соціології</w:t>
      </w:r>
    </w:p>
    <w:p>
      <w:pPr>
        <w:pStyle w:val="Abstract"/>
      </w:pPr>
      <w:r>
        <w:rPr>
          <w:b/>
        </w:rPr>
        <w:t xml:space="preserve">Виконавець:</w:t>
      </w:r>
    </w:p>
    <w:p>
      <w:pPr>
        <w:pStyle w:val="Abstract"/>
      </w:pPr>
      <w:r>
        <w:t xml:space="preserve">Кириченко</w:t>
      </w:r>
      <w:r>
        <w:t xml:space="preserve"> </w:t>
      </w:r>
      <w:r>
        <w:t xml:space="preserve">Роман</w:t>
      </w:r>
      <w:r>
        <w:t xml:space="preserve"> </w:t>
      </w:r>
      <w:r>
        <w:t xml:space="preserve">Олександрович,</w:t>
      </w:r>
    </w:p>
    <w:p>
      <w:pPr>
        <w:pStyle w:val="Abstract"/>
      </w:pPr>
      <w:r>
        <w:t xml:space="preserve">студент</w:t>
      </w:r>
      <w:r>
        <w:t xml:space="preserve"> </w:t>
      </w:r>
      <w:r>
        <w:t xml:space="preserve">магістратури</w:t>
      </w:r>
    </w:p>
    <w:p>
      <w:pPr>
        <w:pStyle w:val="Abstract"/>
      </w:pPr>
      <w:r>
        <w:rPr>
          <w:b/>
        </w:rPr>
        <w:t xml:space="preserve">Науковий</w:t>
      </w:r>
      <w:r>
        <w:rPr>
          <w:b/>
        </w:rPr>
        <w:t xml:space="preserve"> </w:t>
      </w:r>
      <w:r>
        <w:rPr>
          <w:b/>
        </w:rPr>
        <w:t xml:space="preserve">керівник:</w:t>
      </w:r>
    </w:p>
    <w:p>
      <w:pPr>
        <w:pStyle w:val="Abstract"/>
      </w:pPr>
      <w:r>
        <w:t xml:space="preserve">Цимбал</w:t>
      </w:r>
      <w:r>
        <w:t xml:space="preserve"> </w:t>
      </w:r>
      <w:r>
        <w:t xml:space="preserve">Тарас</w:t>
      </w:r>
      <w:r>
        <w:t xml:space="preserve"> </w:t>
      </w:r>
      <w:r>
        <w:t xml:space="preserve">Володимирович,</w:t>
      </w:r>
    </w:p>
    <w:p>
      <w:pPr>
        <w:pStyle w:val="Abstract"/>
      </w:pPr>
      <w:r>
        <w:t xml:space="preserve">кандидат</w:t>
      </w:r>
      <w:r>
        <w:t xml:space="preserve"> </w:t>
      </w:r>
      <w:r>
        <w:t xml:space="preserve">соціологічних</w:t>
      </w:r>
      <w:r>
        <w:t xml:space="preserve"> </w:t>
      </w:r>
      <w:r>
        <w:t xml:space="preserve">наук,</w:t>
      </w:r>
      <w:r>
        <w:t xml:space="preserve"> </w:t>
      </w:r>
      <w:r>
        <w:t xml:space="preserve">доцент</w:t>
      </w:r>
    </w:p>
    <w:p>
      <w:pPr>
        <w:pStyle w:val="Abstract"/>
      </w:pPr>
      <w:r>
        <w:t xml:space="preserve">Магістерська</w:t>
      </w:r>
      <w:r>
        <w:t xml:space="preserve"> </w:t>
      </w:r>
      <w:r>
        <w:t xml:space="preserve">робота</w:t>
      </w:r>
      <w:r>
        <w:t xml:space="preserve"> </w:t>
      </w:r>
      <w:r>
        <w:t xml:space="preserve">допущена</w:t>
      </w:r>
      <w:r>
        <w:t xml:space="preserve"> </w:t>
      </w:r>
      <w:r>
        <w:t xml:space="preserve">до</w:t>
      </w:r>
      <w:r>
        <w:t xml:space="preserve"> </w:t>
      </w:r>
      <w:r>
        <w:t xml:space="preserve">захисту</w:t>
      </w:r>
      <w:r>
        <w:t xml:space="preserve"> </w:t>
      </w:r>
      <w:r>
        <w:t xml:space="preserve">рішенням</w:t>
      </w:r>
      <w:r>
        <w:t xml:space="preserve"> </w:t>
      </w:r>
      <w:r>
        <w:rPr>
          <w:i/>
        </w:rPr>
        <w:t xml:space="preserve">кафедри</w:t>
      </w:r>
      <w:r>
        <w:rPr>
          <w:i/>
        </w:rPr>
        <w:t xml:space="preserve"> </w:t>
      </w:r>
      <w:r>
        <w:rPr>
          <w:i/>
        </w:rPr>
        <w:t xml:space="preserve">теорії</w:t>
      </w:r>
      <w:r>
        <w:rPr>
          <w:i/>
        </w:rPr>
        <w:t xml:space="preserve"> </w:t>
      </w:r>
      <w:r>
        <w:rPr>
          <w:i/>
        </w:rPr>
        <w:t xml:space="preserve">й</w:t>
      </w:r>
      <w:r>
        <w:rPr>
          <w:i/>
        </w:rPr>
        <w:t xml:space="preserve"> </w:t>
      </w:r>
      <w:r>
        <w:rPr>
          <w:i/>
        </w:rPr>
        <w:t xml:space="preserve">історії</w:t>
      </w:r>
      <w:r>
        <w:rPr>
          <w:i/>
        </w:rPr>
        <w:t xml:space="preserve"> </w:t>
      </w:r>
      <w:r>
        <w:rPr>
          <w:i/>
        </w:rPr>
        <w:t xml:space="preserve">соціології</w:t>
      </w:r>
    </w:p>
    <w:p>
      <w:pPr>
        <w:pStyle w:val="Abstract"/>
      </w:pPr>
      <w:r>
        <w:t xml:space="preserve">Протокол</w:t>
      </w:r>
      <w:r>
        <w:t xml:space="preserve"> </w:t>
      </w:r>
      <w:r>
        <w:t xml:space="preserve">№_____</w:t>
      </w:r>
      <w:r>
        <w:t xml:space="preserve"> </w:t>
      </w:r>
      <w:r>
        <w:t xml:space="preserve">від</w:t>
      </w:r>
      <w:r>
        <w:t xml:space="preserve"> </w:t>
      </w:r>
      <w:r>
        <w:t xml:space="preserve">«</w:t>
      </w:r>
      <w:r>
        <w:rPr>
          <w:i/>
          <w:b/>
        </w:rPr>
        <w:t xml:space="preserve">»</w:t>
      </w:r>
      <w:r>
        <w:rPr>
          <w:i/>
          <w:b/>
        </w:rPr>
        <w:t xml:space="preserve"> </w:t>
      </w:r>
      <w:r>
        <w:t xml:space="preserve">______</w:t>
      </w:r>
      <w:r>
        <w:t xml:space="preserve"> </w:t>
      </w:r>
      <w:r>
        <w:t xml:space="preserve">2019</w:t>
      </w:r>
      <w:r>
        <w:t xml:space="preserve"> </w:t>
      </w:r>
      <w:r>
        <w:t xml:space="preserve">р.</w:t>
      </w:r>
    </w:p>
    <w:p>
      <w:pPr>
        <w:pStyle w:val="Abstract"/>
      </w:pPr>
      <w:r>
        <w:t xml:space="preserve">Зав.</w:t>
      </w:r>
      <w:r>
        <w:t xml:space="preserve"> </w:t>
      </w:r>
      <w:r>
        <w:t xml:space="preserve">кафедри</w:t>
      </w:r>
      <w:r>
        <w:t xml:space="preserve"> </w:t>
      </w:r>
      <w:r>
        <w:t xml:space="preserve">___________________</w:t>
      </w:r>
      <w:r>
        <w:t xml:space="preserve"> </w:t>
      </w:r>
      <w:r>
        <w:t xml:space="preserve">проф.</w:t>
      </w:r>
      <w:r>
        <w:t xml:space="preserve"> </w:t>
      </w:r>
      <w:r>
        <w:t xml:space="preserve">Судаков</w:t>
      </w:r>
      <w:r>
        <w:t xml:space="preserve"> </w:t>
      </w:r>
      <w:r>
        <w:t xml:space="preserve">В.І.</w:t>
      </w:r>
      <w:r>
        <w:t xml:space="preserve"> </w:t>
      </w:r>
      <w:r>
        <w:t xml:space="preserve">підпис</w:t>
      </w:r>
    </w:p>
    <w:p>
      <w:pPr>
        <w:pStyle w:val="Heading4"/>
        <w:pStyle w:val="Abstract"/>
      </w:pPr>
      <w:bookmarkStart w:id="27" w:name="-2019"/>
      <w:r>
        <w:t xml:space="preserve">Київ</w:t>
      </w:r>
      <w:r>
        <w:t xml:space="preserve"> </w:t>
      </w:r>
      <w:r>
        <w:t xml:space="preserve">2019</w:t>
      </w:r>
      <w:bookmarkEnd w:id="27"/>
    </w:p>
    <w:p>
      <w:pPr>
        <w:pStyle w:val="Abstract"/>
      </w:pPr>
      <w:r>
        <w:t xml:space="preserve">Робота</w:t>
      </w:r>
      <w:r>
        <w:t xml:space="preserve"> </w:t>
      </w:r>
      <w:r>
        <w:t xml:space="preserve">містить</w:t>
      </w:r>
      <w:r>
        <w:t xml:space="preserve"> </w:t>
      </w:r>
      <w:r>
        <w:t xml:space="preserve">аналіз</w:t>
      </w:r>
      <w:r>
        <w:t xml:space="preserve"> </w:t>
      </w:r>
      <w:r>
        <w:t xml:space="preserve">впливу</w:t>
      </w:r>
      <w:r>
        <w:t xml:space="preserve"> </w:t>
      </w:r>
      <w:r>
        <w:t xml:space="preserve">географічного</w:t>
      </w:r>
      <w:r>
        <w:t xml:space="preserve"> </w:t>
      </w:r>
      <w:r>
        <w:t xml:space="preserve">сусідства,</w:t>
      </w:r>
      <w:r>
        <w:t xml:space="preserve"> </w:t>
      </w:r>
      <w:r>
        <w:t xml:space="preserve">економічного</w:t>
      </w:r>
      <w:r>
        <w:t xml:space="preserve"> </w:t>
      </w:r>
      <w:r>
        <w:t xml:space="preserve">та</w:t>
      </w:r>
      <w:r>
        <w:t xml:space="preserve"> </w:t>
      </w:r>
      <w:r>
        <w:t xml:space="preserve">політичного</w:t>
      </w:r>
      <w:r>
        <w:t xml:space="preserve"> </w:t>
      </w:r>
      <w:r>
        <w:t xml:space="preserve">досвіду</w:t>
      </w:r>
      <w:r>
        <w:t xml:space="preserve"> </w:t>
      </w:r>
      <w:r>
        <w:t xml:space="preserve">індивідів</w:t>
      </w:r>
      <w:r>
        <w:t xml:space="preserve"> </w:t>
      </w:r>
      <w:r>
        <w:t xml:space="preserve">на</w:t>
      </w:r>
      <w:r>
        <w:t xml:space="preserve"> </w:t>
      </w:r>
      <w:r>
        <w:t xml:space="preserve">їх</w:t>
      </w:r>
      <w:r>
        <w:t xml:space="preserve"> </w:t>
      </w:r>
      <w:r>
        <w:t xml:space="preserve">цінності.</w:t>
      </w:r>
      <w:r>
        <w:t xml:space="preserve"> </w:t>
      </w:r>
      <w:r>
        <w:t xml:space="preserve">Робота</w:t>
      </w:r>
      <w:r>
        <w:t xml:space="preserve"> </w:t>
      </w:r>
      <w:r>
        <w:t xml:space="preserve">ґрунтується</w:t>
      </w:r>
      <w:r>
        <w:t xml:space="preserve"> </w:t>
      </w:r>
      <w:r>
        <w:t xml:space="preserve">на</w:t>
      </w:r>
      <w:r>
        <w:t xml:space="preserve"> </w:t>
      </w:r>
      <w:r>
        <w:t xml:space="preserve">даних</w:t>
      </w:r>
      <w:r>
        <w:t xml:space="preserve"> </w:t>
      </w:r>
      <w:r>
        <w:t xml:space="preserve">Європейського</w:t>
      </w:r>
      <w:r>
        <w:t xml:space="preserve"> </w:t>
      </w:r>
      <w:r>
        <w:t xml:space="preserve">соціального</w:t>
      </w:r>
      <w:r>
        <w:t xml:space="preserve"> </w:t>
      </w:r>
      <w:r>
        <w:t xml:space="preserve">дослідження.</w:t>
      </w:r>
    </w:p>
    <w:p>
      <w:pPr>
        <w:pStyle w:val="Compact"/>
        <w:pStyle w:val="Abstract"/>
      </w:pPr>
      <w:r>
        <w:t xml:space="preserve">Work</w:t>
      </w:r>
      <w:r>
        <w:t xml:space="preserve"> </w:t>
      </w:r>
      <w:r>
        <w:t xml:space="preserve">about</w:t>
      </w:r>
    </w:p>
    <w:sdt>
      <w:sdtPr>
        <w:docPartObj>
          <w:docPartGallery w:val="Table of Contents"/>
          <w:docPartUnique/>
        </w:docPartObj>
      </w:sdtPr>
      <w:sdtContent>
        <w:p>
          <w:pPr>
            <w:pStyle w:val="TOCHeading"/>
          </w:pPr>
          <w:r>
            <w:t xml:space="preserve">ЗМІСТ</w:t>
          </w:r>
        </w:p>
        <w:p>
          <w:r>
            <w:fldChar w:fldCharType="begin" w:dirty="true"/>
            <w:instrText xml:space="preserve">TOC \o "1-3" \h \z \u</w:instrText>
            <w:fldChar w:fldCharType="separate"/>
            <w:fldChar w:fldCharType="end"/>
          </w:r>
        </w:p>
      </w:sdtContent>
    </w:sdt>
    <w:p>
      <w:pPr>
        <w:pStyle w:val="Heading1"/>
      </w:pPr>
      <w:r>
        <w:t xml:space="preserve">Вступ</w:t>
      </w:r>
    </w:p>
    <w:p>
      <w:pPr>
        <w:pStyle w:val="FirstParagraph"/>
      </w:pPr>
      <w:r>
        <w:t xml:space="preserve">Актуальність. Європейські країни після Другої світової війни здійснюють спробу взаємної інтеграції економічного, політичного і соціального полів. Одним із виявів цієї спроби є створення Європейського Союзу. Аргументами такого процесу були і спільні цінності, на яких стоять європейські держави. Зокрема часто акцентують увагу на спільному християнському корінні європейців та тисячолітній взаємодії європейських народів. Європа єднається відразу в багатьох просторах. Ми можемо впевнено говорити про інтеграцію в політико-правовій сфері, яку ми можемо побачити через уніфікацію європейського законодавства та через появу нових загальноєвропейських органів управління. Економічну інтегрованість також досить просто прослідкувати через обсяги обмінів між кордонами європейських держав</w:t>
      </w:r>
      <w:r>
        <w:t xml:space="preserve"> </w:t>
      </w:r>
      <w:r>
        <w:t xml:space="preserve">[Schwartz, 2012]</w:t>
      </w:r>
      <w:r>
        <w:t xml:space="preserve">.</w:t>
      </w:r>
    </w:p>
    <w:p>
      <w:pPr>
        <w:pStyle w:val="BodyText"/>
      </w:pPr>
      <w:r>
        <w:t xml:space="preserve">Найважче продемонструвати інтеграції в полі соціальному, зокрема в сфері особистих цінностей громадян. Невідомо, чи стираються ціннісні бар’єри між жителями різних європейських регіонів і чи вирішальним для них є громадянство. Не секрет, що ряд подій європейської історії ХІХ-ХХ століть призвів до формування міжрегіональних</w:t>
      </w:r>
      <w:r>
        <w:t xml:space="preserve"> </w:t>
      </w:r>
      <w:r>
        <w:t xml:space="preserve">“</w:t>
      </w:r>
      <w:r>
        <w:t xml:space="preserve">ліній розлому</w:t>
      </w:r>
      <w:r>
        <w:t xml:space="preserve">”</w:t>
      </w:r>
      <w:r>
        <w:t xml:space="preserve">. Найвідомішою такою лінією є так звана</w:t>
      </w:r>
      <w:r>
        <w:t xml:space="preserve"> </w:t>
      </w:r>
      <w:r>
        <w:t xml:space="preserve">“</w:t>
      </w:r>
      <w:r>
        <w:t xml:space="preserve">залізна завіса</w:t>
      </w:r>
      <w:r>
        <w:t xml:space="preserve">”</w:t>
      </w:r>
      <w:r>
        <w:t xml:space="preserve">, яка на майже 50 років розділила Європу на капіталістичний і соціалістичний табори. Також загальновідомими є відмінності у розвитку країн європейського Півдня (Португалія, Іспанія, Греція, Італія) з їх тривалою авторитарною історією та країнами Західної Європи, які відносно рано обрали демократичний шлях розвитку (Франція, Бельгія, Нідерланди, Швейцарія). Німеччина в свою чергу після повалення нацистського режиму взагалі була розділена як країна на дві частини</w:t>
      </w:r>
      <w:r>
        <w:t xml:space="preserve"> </w:t>
      </w:r>
      <w:r>
        <w:t xml:space="preserve">[Wolfgang Bilsky and Schwartz, 2011]</w:t>
      </w:r>
      <w:r>
        <w:t xml:space="preserve">.</w:t>
      </w:r>
    </w:p>
    <w:p>
      <w:pPr>
        <w:pStyle w:val="BodyText"/>
      </w:pPr>
      <w:r>
        <w:t xml:space="preserve">Однак після епохи постійного протиборства та розділень з кінця 1980-х років у Європі набрали сили інтеграційні процеси і наразі 27 країн Європи об’єднані спільним економічним і політичним простором, а якщо враховувати спрощені візові та економічні процедури, асоційовані членства, то майже всі європейські країни наразі утворюють одну велику спільноту. Така єдність економічного, політичного та соціального просторів сприяє більш динамічному культурному обміну між населенням різних європейських країн, особливо сусідніх. Ми припускаємо, що це все разом сприяє формуванню схожих цінностей у жителів Європи. Ознаки цього очевидні навіть через наявність та поширення використання терміну</w:t>
      </w:r>
      <w:r>
        <w:t xml:space="preserve"> </w:t>
      </w:r>
      <w:r>
        <w:t xml:space="preserve">“</w:t>
      </w:r>
      <w:r>
        <w:t xml:space="preserve">європейські цінності</w:t>
      </w:r>
      <w:r>
        <w:t xml:space="preserve">”</w:t>
      </w:r>
      <w:r>
        <w:t xml:space="preserve"> </w:t>
      </w:r>
      <w:r>
        <w:t xml:space="preserve">[Dopira, 2010]</w:t>
      </w:r>
      <w:r>
        <w:t xml:space="preserve">.</w:t>
      </w:r>
    </w:p>
    <w:p>
      <w:pPr>
        <w:pStyle w:val="BodyText"/>
      </w:pPr>
      <w:r>
        <w:t xml:space="preserve">Наявність спільного ціннісного простору дозволить також нам відповісти на питання, чи існує європейська ідентичність, адже схожі погляди на життя є запорукою досягнення взаєморозуміння у європейців. Також дослідження існування тенденції до утворення спільного ціннісного поля в Європі може допомогти відповісти на питання, який вплив мають процеси інтеграції у політичній і економічній сферах на сферу соціальну. Дані Європейського соціального дослідження є чудовим матеріалом, за допомогою якого ми можемо відповісти на ці питання.</w:t>
      </w:r>
    </w:p>
    <w:p>
      <w:pPr>
        <w:pStyle w:val="BodyText"/>
      </w:pPr>
      <w:r>
        <w:t xml:space="preserve">Механізми і фактори формування цінностей людини давно знаходяться у полі зору суспільствознавців. Самі ці фактори не можна назвати погано дослідженими. На підставі доступної літератури з теми факторів, які впливають на цінності людини, їх можна розділити умовно на дві частини: мікрочинники (сім’я, оточення) та макрочинники (політика держави, система освіти, економіка). При цьому індивіди можуть бути в рамках однакових макро і мікроумов, однак переживати дещо різні досвіди з ними, що в свою чергу спричиняє відмінності у цінностях.</w:t>
      </w:r>
    </w:p>
    <w:p>
      <w:pPr>
        <w:pStyle w:val="BodyText"/>
      </w:pPr>
      <w:r>
        <w:t xml:space="preserve">Таким чином, ми можемо сформулювати три основні гіпотези нашої магістерської роботи:</w:t>
      </w:r>
    </w:p>
    <w:p>
      <w:pPr>
        <w:pStyle w:val="Compact"/>
        <w:numPr>
          <w:numId w:val="1001"/>
          <w:ilvl w:val="0"/>
        </w:numPr>
      </w:pPr>
      <w:r>
        <w:t xml:space="preserve">протягом 2002-2014 років цінності європейців стали більш схожими і національні кордони не відіграють вирішальної ролі в їх розподілі.</w:t>
      </w:r>
    </w:p>
    <w:p>
      <w:pPr>
        <w:pStyle w:val="Compact"/>
        <w:numPr>
          <w:numId w:val="1001"/>
          <w:ilvl w:val="0"/>
        </w:numPr>
      </w:pPr>
      <w:r>
        <w:t xml:space="preserve">життя в роки економічного спаду впливає на схильність до певних цінностей</w:t>
      </w:r>
    </w:p>
    <w:p>
      <w:pPr>
        <w:pStyle w:val="Compact"/>
        <w:numPr>
          <w:numId w:val="1001"/>
          <w:ilvl w:val="0"/>
        </w:numPr>
      </w:pPr>
      <w:r>
        <w:t xml:space="preserve">життя в роки політичної нестабільності впливає на схильність до певних цінностей</w:t>
      </w:r>
    </w:p>
    <w:p>
      <w:pPr>
        <w:pStyle w:val="FirstParagraph"/>
      </w:pPr>
      <w:r>
        <w:t xml:space="preserve">Метою цього дослідження було з’ясувати роль державних кордонів у динаміці розподілу цінностей європейських країн протягом 2002-2014. Нас цікавили у першу чергу відмінності у цінностях між країнами у розрізі їх часу інтеграції в ЄС, а також в розрізі поколінь (молодь, середній вік, старший вік). При цьому ми припускаємо, що молодше населення Європи є більш ціннісно єдиним, ніж старше. Також ми передбачаємо, що різні країни демонструватимуть різну динаміку інтеграції в європейський ціннісний простір.</w:t>
      </w:r>
    </w:p>
    <w:p>
      <w:pPr>
        <w:pStyle w:val="BodyText"/>
      </w:pPr>
      <w:r>
        <w:t xml:space="preserve">Об’єкт - соціальні цінності жителів Європи.</w:t>
      </w:r>
    </w:p>
    <w:p>
      <w:pPr>
        <w:pStyle w:val="BodyText"/>
      </w:pPr>
      <w:r>
        <w:t xml:space="preserve">Предмет - географічні закономірності розподілу соціальних цінностей у Європі.</w:t>
      </w:r>
    </w:p>
    <w:p>
      <w:pPr>
        <w:pStyle w:val="BodyText"/>
      </w:pPr>
      <w:r>
        <w:t xml:space="preserve">Мета цього дослідження полягає у виявленні географічних закономірностей розподілу соціальних цінностей у Європі.</w:t>
      </w:r>
    </w:p>
    <w:p>
      <w:pPr>
        <w:pStyle w:val="BodyText"/>
      </w:pPr>
      <w:r>
        <w:rPr>
          <w:b/>
        </w:rPr>
        <w:t xml:space="preserve">Завдання:</w:t>
      </w:r>
    </w:p>
    <w:p>
      <w:pPr>
        <w:pStyle w:val="Compact"/>
        <w:numPr>
          <w:numId w:val="1002"/>
          <w:ilvl w:val="0"/>
        </w:numPr>
      </w:pPr>
      <w:r>
        <w:t xml:space="preserve">узагальнити цінності країн-учасників ЄСС до показників, придатних для подальшого аналізу зв’язку з економічним зростанням;</w:t>
      </w:r>
    </w:p>
    <w:p>
      <w:pPr>
        <w:pStyle w:val="Compact"/>
        <w:numPr>
          <w:numId w:val="1002"/>
          <w:ilvl w:val="0"/>
        </w:numPr>
      </w:pPr>
      <w:r>
        <w:t xml:space="preserve">встановити, скільки років зростання припало на життя кожного респондента ЄСС;</w:t>
      </w:r>
    </w:p>
    <w:p>
      <w:pPr>
        <w:pStyle w:val="Compact"/>
        <w:numPr>
          <w:numId w:val="1002"/>
          <w:ilvl w:val="0"/>
        </w:numPr>
      </w:pPr>
      <w:r>
        <w:t xml:space="preserve">усунути вплив інших змінних на цінності респондентів ЄСС;</w:t>
      </w:r>
    </w:p>
    <w:p>
      <w:pPr>
        <w:pStyle w:val="Compact"/>
        <w:numPr>
          <w:numId w:val="1002"/>
          <w:ilvl w:val="0"/>
        </w:numPr>
      </w:pPr>
      <w:r>
        <w:t xml:space="preserve">перевірити гіпотезу про зв’язок кількості років економічного зростання, які припали на життя респондента ЄСС та його цінностей;</w:t>
      </w:r>
    </w:p>
    <w:p>
      <w:pPr>
        <w:pStyle w:val="Compact"/>
        <w:numPr>
          <w:numId w:val="1002"/>
          <w:ilvl w:val="0"/>
        </w:numPr>
      </w:pPr>
      <w:r>
        <w:t xml:space="preserve">виявити період найбільшої чутливості до економічних змін у респондентів ЄСС.</w:t>
      </w:r>
    </w:p>
    <w:p>
      <w:pPr>
        <w:pStyle w:val="FirstParagraph"/>
      </w:pPr>
      <w:r>
        <w:t xml:space="preserve">Структура наукової роботи. Наукова робота містить __ сторінок та складається зі Вступу, 4 розділів, Висновків, Списку викоирстаних джерел та __ додатків.</w:t>
      </w:r>
    </w:p>
    <w:p>
      <w:pPr>
        <w:pStyle w:val="BodyText"/>
      </w:pPr>
      <w:r>
        <w:t xml:space="preserve">Огляд літератури</w:t>
      </w:r>
    </w:p>
    <w:p>
      <w:pPr>
        <w:pStyle w:val="Heading1"/>
      </w:pPr>
      <w:bookmarkStart w:id="28" w:name="-.------"/>
      <w:r>
        <w:t xml:space="preserve">Розділ І. Теоретико-методологічні засади дослідження соціальних цінностей</w:t>
      </w:r>
      <w:bookmarkEnd w:id="28"/>
    </w:p>
    <w:p>
      <w:pPr>
        <w:pStyle w:val="Heading2"/>
      </w:pPr>
      <w:bookmarkStart w:id="29" w:name="----"/>
      <w:r>
        <w:t xml:space="preserve">Соціальні цінності: визначення та операціоналізація</w:t>
      </w:r>
      <w:bookmarkEnd w:id="29"/>
    </w:p>
    <w:p>
      <w:pPr>
        <w:pStyle w:val="FirstParagraph"/>
      </w:pPr>
      <w:r>
        <w:t xml:space="preserve">Соціальні цінності. Ідеали, які керують або кваліфікують особисту поведінку, взаємодію з ними</w:t>
      </w:r>
      <w:r>
        <w:t xml:space="preserve"> </w:t>
      </w:r>
      <w:r>
        <w:t xml:space="preserve">інші, та інші ситуації соціальної взаємодії (Braithwaite і Blamey, 1998).</w:t>
      </w:r>
    </w:p>
    <w:p>
      <w:pPr>
        <w:pStyle w:val="BodyText"/>
      </w:pPr>
      <w:r>
        <w:t xml:space="preserve">Цінності не є новим напрямком соціологічних досліджень. Так, вони займали вагоме місце ще в теоріях класиків соціології Вебера та Дюркшайма, де вони були елементом пояснення соціальної організації та змін. Класична праця Вебера</w:t>
      </w:r>
      <w:r>
        <w:t xml:space="preserve"> </w:t>
      </w:r>
      <w:r>
        <w:t xml:space="preserve">“</w:t>
      </w:r>
      <w:r>
        <w:t xml:space="preserve">Протестантська етика та дух капіталізму</w:t>
      </w:r>
      <w:r>
        <w:t xml:space="preserve">”</w:t>
      </w:r>
      <w:r>
        <w:t xml:space="preserve"> </w:t>
      </w:r>
      <w:r>
        <w:t xml:space="preserve">є по суті першою соціологічною спробою показати, як різні цінності, зумовлені релігією, впливають на економічні процеси та господарську активність населення. При цьому поле досліджень цінностей не обмежується соціологією: цінності вивчаються і у психології (тут мова йде про індивідуальні цінності), антропології та інших суміжних із соціологією дисциплінах.</w:t>
      </w:r>
    </w:p>
    <w:p>
      <w:pPr>
        <w:pStyle w:val="BodyText"/>
      </w:pPr>
      <w:r>
        <w:t xml:space="preserve">Цінності є дуже важливими для пояснення культурних відмінностей, відмінностей у розвитку суспільства чи його окремих соціальних груп. При цьому цінності можуть бути як</w:t>
      </w:r>
      <w:r>
        <w:t xml:space="preserve"> </w:t>
      </w:r>
      <w:r>
        <w:t xml:space="preserve">“</w:t>
      </w:r>
      <w:r>
        <w:t xml:space="preserve">двигуном</w:t>
      </w:r>
      <w:r>
        <w:t xml:space="preserve">”</w:t>
      </w:r>
      <w:r>
        <w:t xml:space="preserve"> </w:t>
      </w:r>
      <w:r>
        <w:t xml:space="preserve">соціальних змін, так і їх результатом.</w:t>
      </w:r>
    </w:p>
    <w:p>
      <w:pPr>
        <w:pStyle w:val="BodyText"/>
      </w:pPr>
      <w:r>
        <w:t xml:space="preserve">З 1990-х років дослідження цінностей знову актуалізувалось, що не дивно у зв’язку з глобалізаційними процесами, які все частіше змушують нас говорити про міжкультурні відмінності. У соціології у цей час з’являються нові теорії, покликані операціоналізувати поняття</w:t>
      </w:r>
      <w:r>
        <w:t xml:space="preserve"> </w:t>
      </w:r>
      <w:r>
        <w:t xml:space="preserve">“</w:t>
      </w:r>
      <w:r>
        <w:t xml:space="preserve">соціальних цінностей</w:t>
      </w:r>
      <w:r>
        <w:t xml:space="preserve">”</w:t>
      </w:r>
      <w:r>
        <w:t xml:space="preserve">. Тут у першу чергу йде мова про теорію базових людських цінностей Шалома Шварца.</w:t>
      </w:r>
    </w:p>
    <w:p>
      <w:pPr>
        <w:pStyle w:val="BodyText"/>
      </w:pPr>
      <w:r>
        <w:t xml:space="preserve">Застосування конструктивного значення в суспільних науках протягом минулого століття зазнало відсутності узгодженої концепції базових цінностей, змісту і структури відносин між цими цінностями, а також надійних емпіричних методів їх вимірювання (Hitlin &amp; Piliavin). , 2004; Rohan, 2000). Останні теоретичні та методологічні розробки (Schwartz, 1992; Smith &amp; Schwartz, 1997) призвели до відродження досліджень цінностей.</w:t>
      </w:r>
    </w:p>
    <w:p>
      <w:pPr>
        <w:pStyle w:val="BodyText"/>
      </w:pPr>
      <w:r>
        <w:t xml:space="preserve">Остання теорія стосується основних цінностей, які визнають люди у всіх культурах. Вона ідентифікує десять мотиваційно різних типів цінностей і визначає динамічні відносини між ними. Деякі цінності конфліктують один з одним (наприклад, доброзичливість і сила), тоді як інші - сумісність (наприклад, відповідність і безпека).</w:t>
      </w:r>
      <w:r>
        <w:t xml:space="preserve"> </w:t>
      </w:r>
      <w:r>
        <w:t xml:space="preserve">“</w:t>
      </w:r>
      <w:r>
        <w:t xml:space="preserve">Структура</w:t>
      </w:r>
      <w:r>
        <w:t xml:space="preserve">”</w:t>
      </w:r>
      <w:r>
        <w:t xml:space="preserve"> </w:t>
      </w:r>
      <w:r>
        <w:t xml:space="preserve">цінностей відноситься до цих відносин конфлікту і конгруентності між цінностями. Цінності структуруються подібним чином у різних культурних групах. Це говорить про те, що існує універсальна організація людських мотивацій. Хоча характер цінностей та їх структура можуть бути універсальними, індивіди та групи істотно відрізняються відносно важливості, яку вони приписують цінностям. Тобто індивідууми та групи мають різні ціннісні «пріоритети» або «ієрархії».</w:t>
      </w:r>
    </w:p>
    <w:p>
      <w:pPr>
        <w:pStyle w:val="BodyText"/>
      </w:pPr>
      <w:r>
        <w:t xml:space="preserve">Цінності є однією з кількох конструкцій, що перекривають соціальні науки (Inglehart 1971; Kluckhohn 1951; Smith 1963; Williams 1968). Вони були вузько визначені з точки зору привабливості об’єктів (Becker і McClintock 1967), в загальному вигляді абстрактних принципів, що керують суспільним життям (Rokeach, 1968), і між цими крайнощами, як стабільні уподобання, які мають особистості щодо специфічних умов. (Інглгарт, 1977). Ця стаття розглядає цінності як абстрактні принципи (наприклад, рівність, людська гідність). Як такі, вони застосовуються так само добре, як і критерії, які визначають індивідуальне прийняття рішень та формують інституційну практику. Застосованість концепції як до мікрорівню окремих пізнань (про те, що є правильним і можливим), так і до макрорівні права і політики (про те, що є допустимим і можливим) робить цінності ідеальним інструментом для аналізу напруженості між індивідами та соціальних інститутів.</w:t>
      </w:r>
    </w:p>
    <w:p>
      <w:pPr>
        <w:pStyle w:val="BodyText"/>
      </w:pPr>
      <w:r>
        <w:t xml:space="preserve">Проте універсальність конструкції не була прийнята некритично. Корисність абстрактних цінностей була поставлена під сумнів з боку тих, хто стурбований своєю невизначеністю у змісті та дії. Ця стаття стверджує, що, незважаючи на ці властивості, цінності мають достатнє спільне розуміння навколо свого центрального ядра, що вважається стабільним і значущим явищем, яке можна використовувати надійно і достовірно для пояснення політичного вибору на рівні окремих осіб та інституцій.</w:t>
      </w:r>
    </w:p>
    <w:p>
      <w:pPr>
        <w:pStyle w:val="Heading2"/>
      </w:pPr>
      <w:bookmarkStart w:id="30" w:name="-"/>
      <w:r>
        <w:t xml:space="preserve">Європейські цінності</w:t>
      </w:r>
      <w:bookmarkEnd w:id="30"/>
    </w:p>
    <w:p>
      <w:pPr>
        <w:pStyle w:val="Heading2"/>
      </w:pPr>
      <w:bookmarkStart w:id="31" w:name="-"/>
      <w:r>
        <w:t xml:space="preserve">Критика цінностей</w:t>
      </w:r>
      <w:bookmarkEnd w:id="31"/>
    </w:p>
    <w:p>
      <w:pPr>
        <w:pStyle w:val="FirstParagraph"/>
      </w:pPr>
      <w:r>
        <w:t xml:space="preserve">Хоч цінності часто стають предметом соціологічних досліджень, сама концепція цінностей неодноразово критикувалась.</w:t>
      </w:r>
    </w:p>
    <w:p>
      <w:pPr>
        <w:pStyle w:val="BodyText"/>
      </w:pPr>
      <w:r>
        <w:t xml:space="preserve">В останні роки цінності як абстрактні уявлення про бажані втратили частину своєї легітимності серед тих, хто прагнув пояснити політичну поведінку індивідів через когнітивні процеси (Sears, Huddy and Schaffer 1986). Через абстрактного характеру цінностей висловлювалися сумніви щодо того, якою мірою ці цінності легко транслюються у поведінку людини (Bauman 1993; Denver and Hands 1990; Schuman 1975; Ziegert 1995). У деяких кварталах цінності розглядаються як соціальні ідеали, які відокремлені від світу дій (Krygier and Glass 1995), інші вважають їх соціальною пропагандою, яку можна використовувати для виправдання дій (Kristianson and Zanna 1994; Stephenson 1974). Скептики ставлять під сумнів важливість цінностей у порівнянні з іншими більш чутливими до контексту поняттями, такими як потреба, інтерес, ставлення та норма, коли метою є передбачити, що людина буде робити в конкретній ситуації (Ajzen 1991; Bandura 1986; Downs 1957; Fishbein); і Ajzen 1975; Sears, Huddy and Schaffer 1986). У середині таких аргументів абстрактні цінності наблизилися до позиції наукового невідповідності, вважаючись занадто віддаленою від реального світу, щоб бути цікавими і занадто відкритими для численних інтерпретацій для формування дій.</w:t>
      </w:r>
      <w:r>
        <w:t xml:space="preserve"> </w:t>
      </w:r>
      <w:r>
        <w:t xml:space="preserve">Хоча такі аргументи викликають повагу, вони ігнорують потребу в конструкціях, які мають значення як на рівні індивідуальної поведінки, так і на рівні інституційної практики. Цінності, як це концептуалізували Kluckhohn (1951) і Rokeach (1973), є принципами дії, що охоплюють абстрактні цілі в житті і способи поведінки, які індивід або колектив вважає кращим у контексті та ситуаціях. Значення, як такі, є мікро-макропоняттями. На мікрорівні індивідуальної поведінки цінності мотивують як інтерналізовані стандарти, які узгоджують потреби людини з вимогами суспільного життя. Вони дозволяють окремим особам оцінювати варіанти, які їм доступні для дій. На макрорівні культурних практик, цінності являють собою спільні розуміння, що дають сенс, порядок і інтеграцію до соціального життя. Без цінностей, Kluckhohn стверджував,</w:t>
      </w:r>
      <w:r>
        <w:t xml:space="preserve"> </w:t>
      </w:r>
      <w:r>
        <w:t xml:space="preserve">“</w:t>
      </w:r>
      <w:r>
        <w:t xml:space="preserve">[т] тут не може бути особистої безпеки і ніякої стабільності соціальної організації</w:t>
      </w:r>
      <w:r>
        <w:t xml:space="preserve">”</w:t>
      </w:r>
      <w:r>
        <w:t xml:space="preserve"> </w:t>
      </w:r>
      <w:r>
        <w:t xml:space="preserve">(стор. 400). Цінності рамкового інституційного прийняття рішень (Rokeach 1979). У демократичному суспільстві соціальна цінність, така як правило людей, стримує дії, які уряди вважають законними у досягненні своїх політичних цілей. Той факт, що існує багато варіантів у межах обмежень, не зводить нанівець їхню корисність. Дійсно, універсальність додає до їхньої довговічності в часі і контексті (Braithwaite 1998b), і закріплює їх глибоко в культурі таким чином, що деякі варіанти стають немислимими.</w:t>
      </w:r>
    </w:p>
    <w:p>
      <w:pPr>
        <w:pStyle w:val="BodyText"/>
      </w:pPr>
      <w:r>
        <w:t xml:space="preserve">[BRAITHWAITE, 1998]</w:t>
      </w:r>
    </w:p>
    <w:p>
      <w:pPr>
        <w:pStyle w:val="Heading2"/>
      </w:pPr>
      <w:bookmarkStart w:id="32" w:name="-"/>
      <w:r>
        <w:t xml:space="preserve">Природа цінностей</w:t>
      </w:r>
      <w:bookmarkEnd w:id="32"/>
    </w:p>
    <w:p>
      <w:pPr>
        <w:pStyle w:val="FirstParagraph"/>
      </w:pPr>
      <w:r>
        <w:t xml:space="preserve">Існують різні теорії формування цінностей. Загалом їх можна згрупувати в 6 категорій:</w:t>
      </w:r>
    </w:p>
    <w:p>
      <w:pPr>
        <w:pStyle w:val="Compact"/>
        <w:numPr>
          <w:numId w:val="1003"/>
          <w:ilvl w:val="0"/>
        </w:numPr>
      </w:pPr>
      <w:r>
        <w:t xml:space="preserve">Цінності - це переконання, нерозривно пов’язані з афектами. Коли значення активовані, вони стають відчутними. Люди, для яких незалежність є важливою цінністю, збуджуються, якщо їм загрожує незалежність, відчаю, коли вони безпорадні, щоб захистити її, і щасливі, коли їм це подобається.</w:t>
      </w:r>
    </w:p>
    <w:p>
      <w:pPr>
        <w:pStyle w:val="Compact"/>
        <w:numPr>
          <w:numId w:val="1003"/>
          <w:ilvl w:val="0"/>
        </w:numPr>
      </w:pPr>
      <w:r>
        <w:t xml:space="preserve">Цінності стосуються бажаних цілей, які стимулюють дії. Люди, для яких соціальний порядок, справедливість і корисність є важливими цінностями, мотивовані для досягнення цих цілей.</w:t>
      </w:r>
    </w:p>
    <w:p>
      <w:pPr>
        <w:pStyle w:val="Compact"/>
        <w:numPr>
          <w:numId w:val="1003"/>
          <w:ilvl w:val="0"/>
        </w:numPr>
      </w:pPr>
      <w:r>
        <w:t xml:space="preserve">Цінності перевершують конкретні дії та ситуації. Значення послуху і чесності, наприклад, можуть бути актуальними на робочому місці або в школі, у бізнесі чи в політиці, з друзями або незнайомими людьми. Ця особливість відрізняє цінності від норм і ставлення, які зазвичай відносяться до конкретних дій, об’єктів або ситуацій.</w:t>
      </w:r>
    </w:p>
    <w:p>
      <w:pPr>
        <w:pStyle w:val="Compact"/>
        <w:numPr>
          <w:numId w:val="1003"/>
          <w:ilvl w:val="0"/>
        </w:numPr>
      </w:pPr>
      <w:r>
        <w:t xml:space="preserve">Цінності служать стандартами або критеріями. Значення керують вибором або оцінкою дій, політики, людей і подій. Люди вирішують, що є хорошим або поганим, виправданим або нелегітимним, що варто робити чи уникати, виходячи з можливих наслідків їхніх заповітних цінностей. Але вплив цінностей у повсякденних рішеннях рідко буває свідомим. Цінності потрапляють в усвідомлення, коли дії чи судження, які ми розглядаємо, мають суперечливі наслідки для різних цінностей.</w:t>
      </w:r>
    </w:p>
    <w:p>
      <w:pPr>
        <w:pStyle w:val="Compact"/>
        <w:numPr>
          <w:numId w:val="1003"/>
          <w:ilvl w:val="0"/>
        </w:numPr>
      </w:pPr>
      <w:r>
        <w:t xml:space="preserve">Цінності впорядковані за важливістю відносно один одного. Народні цінності формують впорядковані системи пріоритетів, які характеризують їх як індивідів. Чи приписують вони новим чи традиціям більше значення для досягнення або справедливості? Ця ієрархічна особливість також відрізняє цінності від норм і ставлення.</w:t>
      </w:r>
    </w:p>
    <w:p>
      <w:pPr>
        <w:pStyle w:val="Compact"/>
        <w:numPr>
          <w:numId w:val="1003"/>
          <w:ilvl w:val="0"/>
        </w:numPr>
      </w:pPr>
      <w:r>
        <w:t xml:space="preserve">Відносна важливість кількох цінностей керує діями. Будь-яке ставлення або поведінка, як правило, має наслідки для більш ніж одного цінності. Наприклад, відвідування церкви може виражати і пропагувати традиції і цінності відповідності за рахунок цінностей гедонізму і стимулювання. Компроміс серед відповідних конкуруючих цінностей спрямовує на погляди та поведінку (Schwartz, 1992, 1996). Значення впливають на дії, коли вони є актуальними в контексті (отже, ймовірно, будуть активовані) і важливі для актора.</w:t>
      </w:r>
    </w:p>
    <w:p>
      <w:pPr>
        <w:pStyle w:val="Heading2"/>
      </w:pPr>
      <w:bookmarkStart w:id="33" w:name="--"/>
      <w:r>
        <w:t xml:space="preserve">Дослідження соціальних цінностей</w:t>
      </w:r>
      <w:bookmarkEnd w:id="33"/>
    </w:p>
    <w:p>
      <w:pPr>
        <w:pStyle w:val="Heading2"/>
      </w:pPr>
      <w:bookmarkStart w:id="34" w:name="-----"/>
      <w:r>
        <w:t xml:space="preserve">Шкала Шварца для вимірювання соціальних цінностей</w:t>
      </w:r>
      <w:bookmarkEnd w:id="34"/>
    </w:p>
    <w:p>
      <w:pPr>
        <w:pStyle w:val="FirstParagraph"/>
      </w:pPr>
      <w:r>
        <w:t xml:space="preserve">Операціоналізація соціальних цінностей - складна справа і попри тривалий час досліджень цінностей довго не існувало універсальних шкал їх вимірювання. Сама поява таких шкал у великій мірі заслуга міжнаціональних порівняльних соціологічних досліджень, які без єдиної узгодженої шкали вимірювання цінностей просто б не мали сенсу. Мова йде в першу чергу про два таких дослідження - Європейське соціальне дослідження та Глобальне дослідження цінностей.</w:t>
      </w:r>
    </w:p>
    <w:p>
      <w:pPr>
        <w:pStyle w:val="BodyText"/>
      </w:pPr>
      <w:r>
        <w:t xml:space="preserve">В ЄСС для характеристики персональних цінностей використовується шкала Шварца. Вона в своєму класичному вигляді включає в себе 10 компонентів:</w:t>
      </w:r>
    </w:p>
    <w:p>
      <w:pPr>
        <w:pStyle w:val="Compact"/>
        <w:numPr>
          <w:numId w:val="1004"/>
          <w:ilvl w:val="0"/>
        </w:numPr>
      </w:pPr>
      <w:r>
        <w:rPr>
          <w:b/>
        </w:rPr>
        <w:t xml:space="preserve">влада</w:t>
      </w:r>
    </w:p>
    <w:p>
      <w:pPr>
        <w:pStyle w:val="FirstParagraph"/>
      </w:pPr>
      <w:r>
        <w:rPr>
          <w:b/>
        </w:rPr>
        <w:t xml:space="preserve">Мета:</w:t>
      </w:r>
      <w:r>
        <w:t xml:space="preserve"> </w:t>
      </w:r>
      <w:r>
        <w:t xml:space="preserve">соціальний статус і престиж, контроль чи домінування над людьми і ресурсами.</w:t>
      </w:r>
    </w:p>
    <w:p>
      <w:pPr>
        <w:pStyle w:val="BodyText"/>
      </w:pPr>
      <w:r>
        <w:t xml:space="preserve">Цінність влади присутня в багатьох соціологічних теоріях. З точки зору функціоналізму вона виникає як наслідок диференціації статусів (Parsons, 1951). За великим рахунком соціальні інститути в тому вигляді, в якому вони існували й існують зараз були б неможливими без прийняття й існування цінності влади. Тільки прийняття влади як цінності уможливлює появу і дотримання ієрархій у суспільствах. Щодо первісної причини появи цінності влади, то тут переважно дослідники сходяться на думці, що це наслідок перетворення індивідуальних потреб у контролі та домінуванні над іншими.</w:t>
      </w:r>
      <w:r>
        <w:t xml:space="preserve"> </w:t>
      </w:r>
      <w:r>
        <w:t xml:space="preserve">(наприклад, Allport, 1961)</w:t>
      </w:r>
    </w:p>
    <w:p>
      <w:pPr>
        <w:pStyle w:val="Compact"/>
        <w:numPr>
          <w:numId w:val="1005"/>
          <w:ilvl w:val="0"/>
        </w:numPr>
      </w:pPr>
      <w:r>
        <w:t xml:space="preserve">досягнення</w:t>
      </w:r>
    </w:p>
    <w:p>
      <w:pPr>
        <w:pStyle w:val="FirstParagraph"/>
      </w:pPr>
      <w:r>
        <w:t xml:space="preserve">Мета: особистий успіх шляхом демонстрації компетентності відповідно до соціальних стандартів.</w:t>
      </w:r>
    </w:p>
    <w:p>
      <w:pPr>
        <w:pStyle w:val="BodyText"/>
      </w:pPr>
      <w:r>
        <w:t xml:space="preserve">Компетентна робота, яка генерує ресурси, необхідна для того, щоб люди могли вижити, а групи та установи - для досягнення своїх цілей. Як визначено тут, значення досягнень підкреслюють, що вони демонструють компетентність з точки зору існуючих культурних стандартів, тим самим отримуючи соціальне затвердження. (амбіційний, успішний, здатний, впливовий) [розумний, самоповага, соціальне визнання]</w:t>
      </w:r>
    </w:p>
    <w:p>
      <w:pPr>
        <w:pStyle w:val="Compact"/>
        <w:numPr>
          <w:numId w:val="1006"/>
          <w:ilvl w:val="0"/>
        </w:numPr>
      </w:pPr>
      <w:r>
        <w:rPr>
          <w:b/>
        </w:rPr>
        <w:t xml:space="preserve">гедонізм</w:t>
      </w:r>
    </w:p>
    <w:p>
      <w:pPr>
        <w:pStyle w:val="FirstParagraph"/>
      </w:pPr>
      <w:r>
        <w:rPr>
          <w:b/>
        </w:rPr>
        <w:t xml:space="preserve">Мета:</w:t>
      </w:r>
      <w:r>
        <w:t xml:space="preserve"> </w:t>
      </w:r>
      <w:r>
        <w:t xml:space="preserve">задоволення або чуттєве задоволення для себе.</w:t>
      </w:r>
    </w:p>
    <w:p>
      <w:pPr>
        <w:pStyle w:val="BodyText"/>
      </w:pPr>
      <w:r>
        <w:t xml:space="preserve">Суть гедонізму полягає у задоволенні фізичних потреб і потреб, пов’язаних із ними. Найбільш детально гедонізм описаний у працях Зігмунда Фройда (зокрема він детально описує з точки зору своєї теорії причини тяги людини до задоволення). Суспільство споживання винесло дискусії про гедонізм на новий рівень, адже саме ця цінність є однією із пояснювальних факторів його появи.</w:t>
      </w:r>
      <w:r>
        <w:t xml:space="preserve"> </w:t>
      </w:r>
      <w:r>
        <w:t xml:space="preserve">(наприклад, Freud, 1933; Williams, 1968)</w:t>
      </w:r>
    </w:p>
    <w:p>
      <w:pPr>
        <w:pStyle w:val="Compact"/>
        <w:numPr>
          <w:numId w:val="1007"/>
          <w:ilvl w:val="0"/>
        </w:numPr>
      </w:pPr>
      <w:r>
        <w:t xml:space="preserve">стимулювання</w:t>
      </w:r>
    </w:p>
    <w:p>
      <w:pPr>
        <w:pStyle w:val="FirstParagraph"/>
      </w:pPr>
      <w:r>
        <w:t xml:space="preserve">Мета: хвилювання, новизна і виклик у житті.</w:t>
      </w:r>
    </w:p>
    <w:p>
      <w:pPr>
        <w:pStyle w:val="BodyText"/>
      </w:pPr>
      <w:r>
        <w:t xml:space="preserve">Значення стимулювання випливають з організмічної потреби в різноманітності і стимуляції, щоб підтримувати оптимальний, позитивний, а не загрозливий рівень активації (наприклад, Berlyne, 1960). Ця потреба, ймовірно, пов’язана з потребами, що лежать в основі цінностей самонаправлення (див. Deci, 1975). (різноманітне життя, захоплююче життя, сміливість)</w:t>
      </w:r>
    </w:p>
    <w:p>
      <w:pPr>
        <w:pStyle w:val="Compact"/>
        <w:numPr>
          <w:numId w:val="1008"/>
          <w:ilvl w:val="0"/>
        </w:numPr>
      </w:pPr>
      <w:r>
        <w:t xml:space="preserve">самостійність</w:t>
      </w:r>
    </w:p>
    <w:p>
      <w:pPr>
        <w:pStyle w:val="FirstParagraph"/>
      </w:pPr>
      <w:r>
        <w:t xml:space="preserve">Мета: самостійна думка і дія - вибір, створення, дослідження.</w:t>
      </w:r>
    </w:p>
    <w:p>
      <w:pPr>
        <w:pStyle w:val="BodyText"/>
      </w:pPr>
      <w:r>
        <w:t xml:space="preserve">Самостійне спрямування випливає з організмічних потреб для контролю і майстерності (наприклад, Bandura, 1977; Deci, 1975) і інтерактивних вимог автономії і незалежності (наприклад, Kluckhohn, 1951; Kohn &amp; Schooler, 1983). (творчість, свобода, вибір власних цілей, цікавий, незалежний) [самоповага, розумний, конфіденційність]</w:t>
      </w:r>
    </w:p>
    <w:p>
      <w:pPr>
        <w:pStyle w:val="Compact"/>
        <w:numPr>
          <w:numId w:val="1009"/>
          <w:ilvl w:val="0"/>
        </w:numPr>
      </w:pPr>
      <w:r>
        <w:t xml:space="preserve">універсалізм</w:t>
      </w:r>
    </w:p>
    <w:p>
      <w:pPr>
        <w:pStyle w:val="FirstParagraph"/>
      </w:pPr>
      <w:r>
        <w:t xml:space="preserve">Мета: розуміння, розуміння, толерантність і захист благополуччя всіх людей і природи.</w:t>
      </w:r>
    </w:p>
    <w:p>
      <w:pPr>
        <w:pStyle w:val="BodyText"/>
      </w:pPr>
      <w:r>
        <w:t xml:space="preserve">Це контрастує з груповим фокусом цінностей доброзичливості. Значення універсалізму випливають з потреб виживання індивідів і груп. Але люди не визнають цих потреб, поки вони не зустрінуться з іншими людьми за межами розширеної первинної групи і поки вони не усвідомлять брак природних ресурсів. Тоді люди зможуть зрозуміти, що нездатність прийняти інших людей, які по-різному ставляться до них, і справедливо ставляться до них, призведе до загрозливих для життя конфліктів. Вони також можуть усвідомити, що нездатність захистити природне середовище призведе до знищення ресурсів, від яких залежить життя. Універсалізм поєднує два підтипи, що викликають занепокоєння - для благополуччя тих, хто живе в суспільстві і в світі, і для природи (широкомасштабні, соціальна справедливість, рівність, світ в мирі, світ краси, єдність з природою, мудрість, захист навколишнього середовища) [внутрішня гармонія] , духовне життя]</w:t>
      </w:r>
    </w:p>
    <w:p>
      <w:pPr>
        <w:pStyle w:val="BodyText"/>
      </w:pPr>
      <w:r>
        <w:t xml:space="preserve">Рання версія теорії цінностей (Schwartz, 1992) підняла можливість того, що духовність може становити ще одну універсальну цінність. Визначальною метою духовних цінностей є сенс, когерентність і внутрішня гармонія за допомогою виходу за межі повсякденної реальності. Якщо знаходження остаточного сенсу є основною людською потребою, то духовність може бути чітко визначеною цінністю у всіх суспільствах. Обстеження цінності включало в себе можливі маркери для духовності, почерпнуті з найрізноманітніших джерел (духовне життя, сенс у житті, внутрішня гармонія, віддаленість, єдність з природою, прийняття моєї частки в житті, побожність). Проте духовність не демонструвала послідовного значення в різних культурах. За відсутності послідовного міжкультурного сенсу, духовність була відкинута від теорії, незважаючи на її потенційне значення в багатьох суспільствах.</w:t>
      </w:r>
    </w:p>
    <w:p>
      <w:pPr>
        <w:pStyle w:val="Compact"/>
        <w:numPr>
          <w:numId w:val="1010"/>
          <w:ilvl w:val="0"/>
        </w:numPr>
      </w:pPr>
      <w:r>
        <w:t xml:space="preserve">доброзичливість</w:t>
      </w:r>
    </w:p>
    <w:p>
      <w:pPr>
        <w:pStyle w:val="FirstParagraph"/>
      </w:pPr>
      <w:r>
        <w:t xml:space="preserve">Мета: збереження та зміцнення добробуту тих, з ким часто спілкуються особисто («група»).</w:t>
      </w:r>
    </w:p>
    <w:p>
      <w:pPr>
        <w:pStyle w:val="BodyText"/>
      </w:pPr>
      <w:r>
        <w:t xml:space="preserve">Значення доброчинності випливають з основної вимоги до гладкого функціонування групи (див. Kluckhohn, 1951) і від організмічної потреби у приналежності (пор. Maslow, 1965). Найбільш критичними є відносини всередині сім’ї та інших первинних груп. Значення доброзичливості підкреслюють добровільну турботу про добробут інших людей. (корисний, чесний, прощаючий, відповідальний, вірний, щира дружба, зріла любов) [почуття приналежності, сенс у житті, духовне життя].</w:t>
      </w:r>
    </w:p>
    <w:p>
      <w:pPr>
        <w:pStyle w:val="BodyText"/>
      </w:pPr>
      <w:r>
        <w:t xml:space="preserve">Значення доброзичливості та відповідності сприяють кооперативним та підтримуючим соціальним відносинам. Однак цінності доброзичливості забезпечують інтерналізовану мотиваційну базу для такої поведінки. Навпаки, значення відповідності сприяють співпраці, щоб уникнути негативних наслідків для себе. Обидва значення можуть мотивувати той самий корисний акт окремо або разом.</w:t>
      </w:r>
    </w:p>
    <w:p>
      <w:pPr>
        <w:pStyle w:val="Compact"/>
        <w:numPr>
          <w:numId w:val="1011"/>
          <w:ilvl w:val="0"/>
        </w:numPr>
      </w:pPr>
      <w:r>
        <w:t xml:space="preserve">конформність</w:t>
      </w:r>
    </w:p>
    <w:p>
      <w:pPr>
        <w:pStyle w:val="FirstParagraph"/>
      </w:pPr>
      <w:r>
        <w:t xml:space="preserve">Мета: стримування дій, схильностей і імпульсів, які можуть порушити або завдати шкоди іншим і порушити соціальні очікування або норми.</w:t>
      </w:r>
    </w:p>
    <w:p>
      <w:pPr>
        <w:pStyle w:val="BodyText"/>
      </w:pPr>
      <w:r>
        <w:t xml:space="preserve">Значення відповідності випливають з вимоги, що індивідууми перешкоджають нахилам, які можуть порушити та підірвати плавну взаємодію та функціонування групи. Як я їх визначаю, значення відповідності підкреслюють самообмеження у повсякденній взаємодії, як правило, з близькими іншими. (слухняна, самодисципліна, ввічливість, шанування батьків і старших) [вірних, відповідальних]</w:t>
      </w:r>
    </w:p>
    <w:p>
      <w:pPr>
        <w:pStyle w:val="Compact"/>
        <w:numPr>
          <w:numId w:val="1012"/>
          <w:ilvl w:val="0"/>
        </w:numPr>
      </w:pPr>
      <w:r>
        <w:t xml:space="preserve">традиція</w:t>
      </w:r>
    </w:p>
    <w:p>
      <w:pPr>
        <w:pStyle w:val="FirstParagraph"/>
      </w:pPr>
      <w:r>
        <w:t xml:space="preserve">Мета: повага, відданість і прийняття звичаїв і ідей, які надає культура або релігія людини.</w:t>
      </w:r>
    </w:p>
    <w:p>
      <w:pPr>
        <w:pStyle w:val="BodyText"/>
      </w:pPr>
      <w:r>
        <w:t xml:space="preserve">Групи повсюдно розробляють практику, символи, ідеї та переконання, які представляють їх спільний досвід і долю. Вони стають санкціонованими як цінні групові звичаї і традиції. Вони символізують солідарність групи, виражають її унікальну цінність і сприяють її виживанню (Durkheim, 1912/1954; Parsons, 1951). Вони часто приймають форму релігійних обрядів, вірувань і норм поведінки. (повага до традиції, покірних, побожних, прийняття моєї частки в житті) [помірне, духовне життя]</w:t>
      </w:r>
    </w:p>
    <w:p>
      <w:pPr>
        <w:pStyle w:val="BodyText"/>
      </w:pPr>
      <w:r>
        <w:t xml:space="preserve">Традиції та цінності відповідності особливо близькі мотиваційно; вони поділяють мету підпорядкування себе соціально нав’язаним очікуванням. Вони відрізняються, перш за все, об’єктами, яким підпорядковує себе. Відповідність тягне за собою підпорядкування особам, з якими часто взаємодіє - батьки, вчителі та боси. Традиція тягне за собою підпорядкування більш абстрактним об’єктам - релігійним і культурним звичаям і ідеям. Як наслідки, значення відповідності закликають реагувати на поточні, можливо змінюються очікування. Традиційні цінності вимагають реагування на незмінні очікування від минулого.</w:t>
      </w:r>
    </w:p>
    <w:p>
      <w:pPr>
        <w:pStyle w:val="Compact"/>
        <w:numPr>
          <w:numId w:val="1013"/>
          <w:ilvl w:val="0"/>
        </w:numPr>
      </w:pPr>
      <w:r>
        <w:t xml:space="preserve">безпека</w:t>
      </w:r>
    </w:p>
    <w:p>
      <w:pPr>
        <w:pStyle w:val="FirstParagraph"/>
      </w:pPr>
      <w:r>
        <w:t xml:space="preserve">Мета: безпека, гармонія і стабільність суспільства, відносин і самого себе.</w:t>
      </w:r>
    </w:p>
    <w:p>
      <w:pPr>
        <w:pStyle w:val="BodyText"/>
      </w:pPr>
      <w:r>
        <w:t xml:space="preserve">Значення безпеки випливають з основних індивідуальних та групових вимог (див. Kluckhohn, 1951; Maslow, 1965). Деякі цінності безпеки слугують в першу чергу індивідуальним інтересам (наприклад, чистим), інші ширші групові інтереси (наприклад, національна безпека). Навіть останні, однак, в значній мірі виражають мету безпеки для себе або тих, з ким ідентифікується. (соціальний порядок, безпека сім’ї, національна безпека, чиста, взаємна допомога) [здоровий, помірний, почуття приналежності]</w:t>
      </w:r>
    </w:p>
    <w:p>
      <w:pPr>
        <w:pStyle w:val="BodyText"/>
      </w:pPr>
      <w:r>
        <w:t xml:space="preserve">У ЄСС ці цінності відображені в 23-х змінних. Існує окрема інструкція по узагальненню цих цінностей до 10 описаних вище. Її суть полягає в тому, що рахується по кожному респонденту середнє значення змінних, що відповідають певній цінності і віднімається середнє значення відповідей на всі питання, що відповідають усім цінностям. Це нормально, адже шкала в певній мірі дуальна, тобто одній цінності ми можемо протиставити іншу. І таким чином ми уникаємо ситуації, коли людина загалом відповідає, що всі характеристики на неї схожі, і через це виходить викривлення даних у дослідженні.</w:t>
      </w:r>
    </w:p>
    <w:p>
      <w:pPr>
        <w:pStyle w:val="BodyText"/>
      </w:pPr>
      <w:r>
        <w:t xml:space="preserve">Цю шкалу з 10 пунктів можна ще більше узагальнити до 4-х. Такий спосіб є науково обґрунтованим і описаним у документації ЄСС:</w:t>
      </w:r>
    </w:p>
    <w:p>
      <w:pPr>
        <w:pStyle w:val="Compact"/>
        <w:numPr>
          <w:numId w:val="1014"/>
          <w:ilvl w:val="0"/>
        </w:numPr>
      </w:pPr>
      <w:r>
        <w:t xml:space="preserve">Відкритість до змін (Openness to Change)</w:t>
      </w:r>
    </w:p>
    <w:p>
      <w:pPr>
        <w:pStyle w:val="Compact"/>
        <w:numPr>
          <w:numId w:val="1014"/>
          <w:ilvl w:val="0"/>
        </w:numPr>
      </w:pPr>
      <w:r>
        <w:t xml:space="preserve">Самоперевершення (Self-Trancendence)</w:t>
      </w:r>
    </w:p>
    <w:p>
      <w:pPr>
        <w:pStyle w:val="Compact"/>
        <w:numPr>
          <w:numId w:val="1014"/>
          <w:ilvl w:val="0"/>
        </w:numPr>
      </w:pPr>
      <w:r>
        <w:t xml:space="preserve">Збереження (Conservation)</w:t>
      </w:r>
    </w:p>
    <w:p>
      <w:pPr>
        <w:pStyle w:val="Compact"/>
        <w:numPr>
          <w:numId w:val="1014"/>
          <w:ilvl w:val="0"/>
        </w:numPr>
      </w:pPr>
      <w:r>
        <w:t xml:space="preserve">Самовдосконалення (Self-Enhancement) [5]</w:t>
      </w:r>
    </w:p>
    <w:p>
      <w:pPr>
        <w:pStyle w:val="FirstParagraph"/>
      </w:pPr>
      <w:r>
        <w:t xml:space="preserve">Це два виміри цінностей, описані Шварцом. Його схема цінностей уможливлює протисатвлення цінностей між собою. Сама можливість протиставлення є зручними аналітичним інструментом, який дозволює досить просто порівнювати групи людей.</w:t>
      </w:r>
    </w:p>
    <w:p>
      <w:pPr>
        <w:pStyle w:val="BodyText"/>
      </w:pPr>
      <w:r>
        <w:drawing>
          <wp:inline>
            <wp:extent cx="5930900" cy="5337810"/>
            <wp:effectExtent b="0" l="0" r="0" t="0"/>
            <wp:docPr descr="" title="" id="1" name="Picture"/>
            <a:graphic>
              <a:graphicData uri="http://schemas.openxmlformats.org/drawingml/2006/picture">
                <pic:pic>
                  <pic:nvPicPr>
                    <pic:cNvPr descr="values_scheme.png" id="0" name="Picture"/>
                    <pic:cNvPicPr>
                      <a:picLocks noChangeArrowheads="1" noChangeAspect="1"/>
                    </pic:cNvPicPr>
                  </pic:nvPicPr>
                  <pic:blipFill>
                    <a:blip r:embed="rId35"/>
                    <a:stretch>
                      <a:fillRect/>
                    </a:stretch>
                  </pic:blipFill>
                  <pic:spPr bwMode="auto">
                    <a:xfrm>
                      <a:off x="0" y="0"/>
                      <a:ext cx="5930900" cy="5337810"/>
                    </a:xfrm>
                    <a:prstGeom prst="rect">
                      <a:avLst/>
                    </a:prstGeom>
                    <a:noFill/>
                    <a:ln w="9525">
                      <a:noFill/>
                      <a:headEnd/>
                      <a:tailEnd/>
                    </a:ln>
                  </pic:spPr>
                </pic:pic>
              </a:graphicData>
            </a:graphic>
          </wp:inline>
        </w:drawing>
      </w:r>
    </w:p>
    <w:p>
      <w:pPr>
        <w:pStyle w:val="BodyText"/>
      </w:pPr>
      <w:r>
        <w:t xml:space="preserve">Перегляд значень, організованих за двома біполярними розмірами, дозволяє нам підсумувати протиставлення між конкуруючими значеннями. Як показано на малюнку 1, один вимір протиставляє цінності «відкритості до змін» і «збереження». Цей вимір охоплює конфлікт між цінностями, які підкреслюють незалежність думки, дій, почуттів і готовності до змін (самоврядування, стимулювання) і цінностей, які підкреслюють порядок, самообмеження, збереження минулого і опору змінам (безпека, відповідності, традиції). Другий вимір контрастує цінностями «самопідвищення» та «самовизначення». Цей вимір охоплює конфлікт між цінностями, які підкреслюють турботу про добробут і інтереси інших (універсалізм, доброзичливість) і цінності, які підкреслюють прагнення до власних інтересів і відносно успіху і домінування над іншими (влада, досягнення). Гедонізм поділяє елементи як відкритості до змін і самовдосконалення.</w:t>
      </w:r>
    </w:p>
    <w:p>
      <w:pPr>
        <w:pStyle w:val="BodyText"/>
      </w:pPr>
      <w:r>
        <w:t xml:space="preserve">Хоча теорія дискримінує десять цінностей, вона постулює, що на більш базовому рівні цінності формують континуум пов’язаних мотивацій. Цей континуум породжує кругову структуру. Щоб пояснити природу континууму, відзначу спільні мотиваційні акценти суміжних значень:</w:t>
      </w:r>
    </w:p>
    <w:p>
      <w:pPr>
        <w:pStyle w:val="BodyText"/>
      </w:pPr>
      <w:r>
        <w:t xml:space="preserve">а) влада ідосягнення - соціальнаперевагою іповагою;</w:t>
      </w:r>
      <w:r>
        <w:t xml:space="preserve"> </w:t>
      </w:r>
      <w:r>
        <w:t xml:space="preserve">б) досягненняандеонізму - егоцентричногозадоволення;</w:t>
      </w:r>
      <w:r>
        <w:t xml:space="preserve"> </w:t>
      </w:r>
      <w:r>
        <w:t xml:space="preserve">в) гедонізм і стимуляція - прагнення афективно приємного збудження;</w:t>
      </w:r>
      <w:r>
        <w:t xml:space="preserve"> </w:t>
      </w:r>
      <w:r>
        <w:t xml:space="preserve">г) стимуляціясамонаправлення - внутрішньоінтереснаінвелевіімастери;</w:t>
      </w:r>
      <w:r>
        <w:t xml:space="preserve"> </w:t>
      </w:r>
      <w:r>
        <w:t xml:space="preserve">д) самоврядуванняі універсалізм - обгрунтованістьодногосуспільного судження і комфортності</w:t>
      </w:r>
      <w:r>
        <w:t xml:space="preserve"> </w:t>
      </w:r>
      <w:r>
        <w:t xml:space="preserve">різноманітність існування;</w:t>
      </w:r>
      <w:r>
        <w:t xml:space="preserve"> </w:t>
      </w:r>
      <w:r>
        <w:t xml:space="preserve">f) універсалізм і доброзичливість - посилення інших і трансцендентність</w:t>
      </w:r>
      <w:r>
        <w:t xml:space="preserve"> </w:t>
      </w:r>
      <w:r>
        <w:t xml:space="preserve">егоїстичні інтереси;</w:t>
      </w:r>
      <w:r>
        <w:t xml:space="preserve"> </w:t>
      </w:r>
      <w:r>
        <w:t xml:space="preserve">г) доброзичливість ітрадиція - прихильність доодної групи;</w:t>
      </w:r>
      <w:r>
        <w:t xml:space="preserve"> </w:t>
      </w:r>
      <w:r>
        <w:t xml:space="preserve">h) доброзичливістьівідповідність - нормативнеповедінка, що сприяє підвищеннювідносин;</w:t>
      </w:r>
      <w:r>
        <w:t xml:space="preserve"> </w:t>
      </w:r>
      <w:r>
        <w:t xml:space="preserve">і) відповідність і традиція - підпорядкування самого себе на користь соціально нав’язаного</w:t>
      </w:r>
      <w:r>
        <w:t xml:space="preserve"> </w:t>
      </w:r>
      <w:r>
        <w:t xml:space="preserve">очікування;</w:t>
      </w:r>
      <w:r>
        <w:t xml:space="preserve"> </w:t>
      </w:r>
      <w:r>
        <w:t xml:space="preserve">j) традиції та безпека - збереження існуючих соціальних механізмів, які дають впевненість у житті;</w:t>
      </w:r>
      <w:r>
        <w:t xml:space="preserve"> </w:t>
      </w:r>
      <w:r>
        <w:t xml:space="preserve">k) відповідність і безпека - захист порядку і гармонії у відносинах;</w:t>
      </w:r>
      <w:r>
        <w:t xml:space="preserve"> </w:t>
      </w:r>
      <w:r>
        <w:t xml:space="preserve">l) безпека і влада - уникнення або подолання загроз шляхом контролю відносин і</w:t>
      </w:r>
      <w:r>
        <w:t xml:space="preserve"> </w:t>
      </w:r>
      <w:r>
        <w:t xml:space="preserve">ресурсів.</w:t>
      </w:r>
    </w:p>
    <w:p>
      <w:pPr>
        <w:pStyle w:val="Heading2"/>
      </w:pPr>
      <w:bookmarkStart w:id="36" w:name="---"/>
      <w:r>
        <w:t xml:space="preserve">Висновок до розділу І</w:t>
      </w:r>
      <w:bookmarkEnd w:id="36"/>
    </w:p>
    <w:p>
      <w:pPr>
        <w:pStyle w:val="FirstParagraph"/>
      </w:pPr>
      <w:r>
        <w:t xml:space="preserve">Підсумовуючи, циркулярне розташування значень являє собою мотиваційний континуум. Чим ближче будь-які два значення в будь-якому напрямку навколо кола, тим більше подібні їх основні мотивації; чим більш віддалені, тим більше антагоністичні їх мотивації. Ідея, що цінності утворюють мотиваційний континуум, має критичне значення: поділ області значень на десять різних значень є довільною зручністю. Доцільно розділяти елементи вартості на більш-менш точні та чіткі значення відповідно до потреб та завдань свого аналізу.4. Поняття цінностей, організованих у круговій мотиваційній структурі, має важливе значення для відносин значень до інших змінних. Це означає, що цілий набір з десяти значень пов’язаний з будь-якою іншою змінною (поведінка, ставлення, вік тощо) інтегрованим чином.</w:t>
      </w:r>
    </w:p>
    <w:p>
      <w:pPr>
        <w:pStyle w:val="BodyText"/>
      </w:pPr>
      <w:r>
        <w:t xml:space="preserve">Таке узагальнення є прийнятним для нашої аналітичної роботи, оскільки її головна мета показати саме наявність зв’язку, а не його суть. Тим паче ми не ставимо за мету характеризувати цінності європейців, а лише говорити про те, чи є стали вони більш схожими протягом часу.</w:t>
      </w:r>
    </w:p>
    <w:p>
      <w:pPr>
        <w:pStyle w:val="BodyText"/>
      </w:pPr>
      <w:r>
        <w:t xml:space="preserve">Використання шкали Шалома Шварца для досягнення мети нашої роботи викликане наступними причинами:</w:t>
      </w:r>
    </w:p>
    <w:p>
      <w:pPr>
        <w:pStyle w:val="Compact"/>
        <w:numPr>
          <w:numId w:val="1015"/>
          <w:ilvl w:val="0"/>
        </w:numPr>
      </w:pPr>
      <w:r>
        <w:t xml:space="preserve">використання цієї шкали в доступних масивах даних ЄСС. Ця шкала є визнаним інструментом вимірювання цінностей, в її основі лежить універсальна теорія людських цінностей Шварца.</w:t>
      </w:r>
    </w:p>
    <w:p>
      <w:pPr>
        <w:pStyle w:val="Compact"/>
        <w:numPr>
          <w:numId w:val="1015"/>
          <w:ilvl w:val="0"/>
        </w:numPr>
      </w:pPr>
      <w:r>
        <w:t xml:space="preserve">шкала Шварца легко зводить вимірювання цінностей до двох дихотомій. Для нашої роботи це досить зручно, оскільки ми не ставимо за мету здійснити опис цінностей європейців, а лише загалом продемонструвати, які фактори вплинули на географічний розподіл цінностей. Використання для цього лише двох пар цінностей дуже спрощує нам роботу.</w:t>
      </w:r>
    </w:p>
    <w:p>
      <w:pPr>
        <w:pStyle w:val="Heading1"/>
      </w:pPr>
      <w:bookmarkStart w:id="37" w:name="-.------"/>
      <w:r>
        <w:t xml:space="preserve">Розділ ІІ. Географічні закономірності розподілу цінностей в Європі</w:t>
      </w:r>
      <w:bookmarkEnd w:id="37"/>
    </w:p>
    <w:p>
      <w:pPr>
        <w:pStyle w:val="FirstParagraph"/>
      </w:pPr>
      <w:r>
        <w:t xml:space="preserve">Відповідь на це питання можна отримати через показники просторової асоціації (Indicators of spatial association).</w:t>
      </w:r>
    </w:p>
    <w:p>
      <w:pPr>
        <w:pStyle w:val="BodyText"/>
      </w:pPr>
      <w:r>
        <w:t xml:space="preserve">Просторова асоціація полягає в наяності кластерів у просторовому розташуванні даних змінної. Наприклад, це може бути наяність певного явища у тільки близьких на карті точках. Таким явищем може бути епідемія хвороби. Просторову асоціацію ми спостерігаємо в Україні, коли дивимось на результати виборів, адже у нас стабільно відтворюється підтримка проєвропейських сил в західних та центральних регіонах, тоді як на Сході та Півдні помітно більшу підтримку мають проросійські сили. І точки обох підтримок не розсіяні на карті випадково, вони всі концентруються одне біля одного.</w:t>
      </w:r>
    </w:p>
    <w:p>
      <w:pPr>
        <w:pStyle w:val="BodyText"/>
      </w:pPr>
      <w:r>
        <w:t xml:space="preserve">Найвідомішим показником просторової асоціації є просторова автокореляція.</w:t>
      </w:r>
      <w:r>
        <w:t xml:space="preserve"> </w:t>
      </w:r>
      <w:r>
        <w:t xml:space="preserve">Автокореляцією називають кореляцію функції із самою собою з певним зміщенням. Таким зміщенням може бути простір.</w:t>
      </w:r>
      <w:r>
        <w:t xml:space="preserve"> </w:t>
      </w:r>
      <w:r>
        <w:t xml:space="preserve">Суть просторової автокореляції полягає в коваріації властивостей у географічному просторі: характеристики в близьких місцях корелюють сильніше, ніж у віддалених. Звісно, як і кореляція, так і автокореляція не стверджують про каузальний зв’язок, а лише показують певну взаємозалежність.</w:t>
      </w:r>
    </w:p>
    <w:p>
      <w:pPr>
        <w:pStyle w:val="BodyText"/>
      </w:pPr>
      <w:r>
        <w:t xml:space="preserve">Просторова автокореляція є двох типів – глобальна і локальна. У нашій статті мова йтиме про глобальну автокореляцію, адже процеси, які ми досліджуємо відбуваються на просторах цілого континенту.</w:t>
      </w:r>
      <w:r>
        <w:t xml:space="preserve"> </w:t>
      </w:r>
      <w:r>
        <w:t xml:space="preserve">Глобальна просторова автокорреляция є мірою загальної кластеризації даних [1].</w:t>
      </w:r>
      <w:r>
        <w:t xml:space="preserve"> </w:t>
      </w:r>
      <w:r>
        <w:t xml:space="preserve">Мірою просторової автокореляції є І Морана, винайдена Патріком Альфредом Пірсом Мораном, автралійським математиком [4]. Коефіцієнт просторової автокореляції Морана є розширенням кореліцї Пірсона для одновимірних рядів. Так, якщо r Пірсона для двох змінних однакової довжини (x та y) визначається як:</w:t>
      </w:r>
    </w:p>
    <w:p>
      <w:pPr>
        <w:pStyle w:val="BodyText"/>
      </w:pPr>
      <m:oMathPara>
        <m:oMathParaPr>
          <m:jc m:val="center"/>
        </m:oMathParaPr>
        <m:oMath>
          <m:r>
            <m:t>r</m:t>
          </m:r>
          <m:r>
            <m:t>=</m:t>
          </m:r>
          <m:sSub>
            <m:e>
              <m:r>
                <m:t>r</m:t>
              </m:r>
            </m:e>
            <m:sub>
              <m:r>
                <m:t>x</m:t>
              </m:r>
              <m:r>
                <m:t>y</m:t>
              </m:r>
            </m:sub>
          </m:sSub>
          <m:r>
            <m:t>=</m:t>
          </m:r>
          <m:f>
            <m:fPr>
              <m:type m:val="bar"/>
            </m:fPr>
            <m:num>
              <m:r>
                <m:t>∑</m:t>
              </m:r>
              <m:r>
                <m:t>(</m:t>
              </m:r>
              <m:sSub>
                <m:e>
                  <m:r>
                    <m:t>x</m:t>
                  </m:r>
                </m:e>
                <m:sub>
                  <m:r>
                    <m:t>i</m:t>
                  </m:r>
                </m:sub>
              </m:sSub>
              <m:r>
                <m:t>−</m:t>
              </m:r>
              <m:bar>
                <m:barPr>
                  <m:pos m:val="top"/>
                </m:barPr>
                <m:e>
                  <m:r>
                    <m:t>x</m:t>
                  </m:r>
                </m:e>
              </m:bar>
              <m:r>
                <m:t>)</m:t>
              </m:r>
              <m:r>
                <m:t>(</m:t>
              </m:r>
              <m:sSub>
                <m:e>
                  <m:r>
                    <m:t>y</m:t>
                  </m:r>
                </m:e>
                <m:sub>
                  <m:r>
                    <m:t>i</m:t>
                  </m:r>
                </m:sub>
              </m:sSub>
              <m:r>
                <m:t>−</m:t>
              </m:r>
              <m:bar>
                <m:barPr>
                  <m:pos m:val="top"/>
                </m:barPr>
                <m:e>
                  <m:r>
                    <m:t>y</m:t>
                  </m:r>
                </m:e>
              </m:bar>
              <m:r>
                <m:t>)</m:t>
              </m:r>
            </m:num>
            <m:den>
              <m:rad>
                <m:radPr>
                  <m:degHide m:val="1"/>
                </m:radPr>
                <m:deg/>
                <m:e>
                  <m:r>
                    <m:t>∑</m:t>
                  </m:r>
                  <m:r>
                    <m:t>(</m:t>
                  </m:r>
                  <m:sSub>
                    <m:e>
                      <m:r>
                        <m:t>x</m:t>
                      </m:r>
                    </m:e>
                    <m:sub>
                      <m:r>
                        <m:t>i</m:t>
                      </m:r>
                    </m:sub>
                  </m:sSub>
                  <m:r>
                    <m:t>−</m:t>
                  </m:r>
                  <m:bar>
                    <m:barPr>
                      <m:pos m:val="top"/>
                    </m:barPr>
                    <m:e>
                      <m:r>
                        <m:t>x</m:t>
                      </m:r>
                    </m:e>
                  </m:bar>
                  <m:sSup>
                    <m:e>
                      <m:r>
                        <m:t>)</m:t>
                      </m:r>
                    </m:e>
                    <m:sup>
                      <m:r>
                        <m:t>2</m:t>
                      </m:r>
                    </m:sup>
                  </m:sSup>
                </m:e>
              </m:rad>
              <m:r>
                <m:t> </m:t>
              </m:r>
              <m:rad>
                <m:radPr>
                  <m:degHide m:val="1"/>
                </m:radPr>
                <m:deg/>
                <m:e>
                  <m:r>
                    <m:t>∑</m:t>
                  </m:r>
                  <m:r>
                    <m:t>(</m:t>
                  </m:r>
                  <m:sSub>
                    <m:e>
                      <m:r>
                        <m:t>y</m:t>
                      </m:r>
                    </m:e>
                    <m:sub>
                      <m:r>
                        <m:t>i</m:t>
                      </m:r>
                    </m:sub>
                  </m:sSub>
                  <m:r>
                    <m:t>−</m:t>
                  </m:r>
                  <m:bar>
                    <m:barPr>
                      <m:pos m:val="top"/>
                    </m:barPr>
                    <m:e>
                      <m:r>
                        <m:t>y</m:t>
                      </m:r>
                    </m:e>
                  </m:bar>
                  <m:sSup>
                    <m:e>
                      <m:r>
                        <m:t>)</m:t>
                      </m:r>
                    </m:e>
                    <m:sup>
                      <m:r>
                        <m:t>2</m:t>
                      </m:r>
                    </m:sup>
                  </m:sSup>
                </m:e>
              </m:rad>
            </m:den>
          </m:f>
        </m:oMath>
      </m:oMathPara>
    </w:p>
    <w:p>
      <w:pPr>
        <w:pStyle w:val="FirstParagraph"/>
      </w:pPr>
      <w:r>
        <w:t xml:space="preserve">де</w:t>
      </w:r>
      <w:r>
        <w:t xml:space="preserve"> </w:t>
      </w:r>
      <m:oMath>
        <m:bar>
          <m:barPr>
            <m:pos m:val="top"/>
          </m:barPr>
          <m:e>
            <m:r>
              <m:t>x</m:t>
            </m:r>
          </m:e>
        </m:bar>
      </m:oMath>
      <w:r>
        <w:t xml:space="preserve"> </w:t>
      </w:r>
      <w:r>
        <w:t xml:space="preserve">та</w:t>
      </w:r>
      <w:r>
        <w:t xml:space="preserve"> </w:t>
      </w:r>
      <m:oMath>
        <m:bar>
          <m:barPr>
            <m:pos m:val="top"/>
          </m:barPr>
          <m:e>
            <m:r>
              <m:t>y</m:t>
            </m:r>
          </m:e>
        </m:bar>
      </m:oMath>
      <w:r>
        <w:t xml:space="preserve"> </w:t>
      </w:r>
      <w:r>
        <w:t xml:space="preserve">- середній значення відповідних змінних. Якщо ми вивчаємо певні ознаки, розподілені в географічному просторі, то логічно очікувати, що їх значення в близьких територіальних одиницях будуть, швидше за все, схожими, а у віддалених - помітно відрізнятимуться. Щоб це виявляти у формулу вище потрібно додати вагові коефіцієнти, які б таку близькість чи віддаленість позначали, у найпростішому випадку ми можемо сусідні територіальні одиниці позначати одиницею, а ті, які не мають сусідства - нулем. Власне, у цьому полягає ключова відмінність формули просторової автокореляції (частка</w:t>
      </w:r>
      <w:r>
        <w:t xml:space="preserve"> </w:t>
      </w:r>
      <w:r>
        <w:t xml:space="preserve">“</w:t>
      </w:r>
      <w:r>
        <w:t xml:space="preserve">авто</w:t>
      </w:r>
      <w:r>
        <w:t xml:space="preserve">”</w:t>
      </w:r>
      <w:r>
        <w:t xml:space="preserve"> </w:t>
      </w:r>
      <w:r>
        <w:t xml:space="preserve">тут позачає те, що ми вивчаємо не зв’язок однієї ознаки з іншою, а зв’язок однієї і тої самої змінної зі зміщеним варіантом самої себе) від традийіної формули кореляції Пірсона - у наявності вагових коефіцієнтів, які позначаються як</w:t>
      </w:r>
      <w:r>
        <w:t xml:space="preserve"> </w:t>
      </w:r>
      <m:oMath>
        <m:sSub>
          <m:e>
            <m:r>
              <m:t>w</m:t>
            </m:r>
          </m:e>
          <m:sub>
            <m:r>
              <m:t>i</m:t>
            </m:r>
            <m:r>
              <m:t>j</m:t>
            </m:r>
          </m:sub>
        </m:sSub>
      </m:oMath>
      <w:r>
        <w:t xml:space="preserve">.</w:t>
      </w:r>
    </w:p>
    <w:p>
      <w:pPr>
        <w:pStyle w:val="BodyText"/>
      </w:pPr>
      <w:r>
        <w:t xml:space="preserve">Суть просторової автокореляції полягає в кореляції значень змінних в місцях, що мають сусіднє розташування у просторі. Moran’s I визначають як:</w:t>
      </w:r>
    </w:p>
    <w:p>
      <w:pPr>
        <w:pStyle w:val="BodyText"/>
      </w:pPr>
      <m:oMath>
        <m:r>
          <m:t>I</m:t>
        </m:r>
        <m:r>
          <m:t>=</m:t>
        </m:r>
        <m:f>
          <m:fPr>
            <m:type m:val="bar"/>
          </m:fPr>
          <m:num>
            <m:r>
              <m:t>N</m:t>
            </m:r>
          </m:num>
          <m:den>
            <m:nary>
              <m:naryPr>
                <m:chr m:val="∑"/>
                <m:limLoc m:val="undOvr"/>
                <m:subHide m:val="0"/>
                <m:supHide m:val="1"/>
              </m:naryPr>
              <m:sub>
                <m:r>
                  <m:t>i</m:t>
                </m:r>
              </m:sub>
              <m:sup>
                <m:r>
                  <m:t>​</m:t>
                </m:r>
              </m:sup>
              <m:e>
                <m:nary>
                  <m:naryPr>
                    <m:chr m:val="∑"/>
                    <m:limLoc m:val="undOvr"/>
                    <m:subHide m:val="0"/>
                    <m:supHide m:val="1"/>
                  </m:naryPr>
                  <m:sub>
                    <m:r>
                      <m:t>j</m:t>
                    </m:r>
                  </m:sub>
                  <m:sup>
                    <m:r>
                      <m:t>​</m:t>
                    </m:r>
                  </m:sup>
                  <m:e>
                    <m:sSub>
                      <m:e>
                        <m:r>
                          <m:t>w</m:t>
                        </m:r>
                      </m:e>
                      <m:sub>
                        <m:r>
                          <m:t>i</m:t>
                        </m:r>
                        <m:r>
                          <m:t>j</m:t>
                        </m:r>
                      </m:sub>
                    </m:sSub>
                  </m:e>
                </m:nary>
              </m:e>
            </m:nary>
          </m:den>
        </m:f>
        <m:f>
          <m:fPr>
            <m:type m:val="bar"/>
          </m:fPr>
          <m:num>
            <m:nary>
              <m:naryPr>
                <m:chr m:val="∑"/>
                <m:limLoc m:val="undOvr"/>
                <m:subHide m:val="0"/>
                <m:supHide m:val="1"/>
              </m:naryPr>
              <m:sub>
                <m:r>
                  <m:t>i</m:t>
                </m:r>
              </m:sub>
              <m:sup>
                <m:r>
                  <m:t>​</m:t>
                </m:r>
              </m:sup>
              <m:e>
                <m:nary>
                  <m:naryPr>
                    <m:chr m:val="∑"/>
                    <m:limLoc m:val="undOvr"/>
                    <m:subHide m:val="0"/>
                    <m:supHide m:val="1"/>
                  </m:naryPr>
                  <m:sub>
                    <m:r>
                      <m:t>j</m:t>
                    </m:r>
                  </m:sub>
                  <m:sup>
                    <m:r>
                      <m:t>​</m:t>
                    </m:r>
                  </m:sup>
                  <m:e>
                    <m:sSub>
                      <m:e>
                        <m:r>
                          <m:t>w</m:t>
                        </m:r>
                      </m:e>
                      <m:sub>
                        <m:r>
                          <m:t>i</m:t>
                        </m:r>
                        <m:r>
                          <m:t>j</m:t>
                        </m:r>
                      </m:sub>
                    </m:sSub>
                  </m:e>
                </m:nary>
              </m:e>
            </m:nary>
            <m:r>
              <m:t>(</m:t>
            </m:r>
            <m:sSub>
              <m:e>
                <m:r>
                  <m:t>X</m:t>
                </m:r>
              </m:e>
              <m:sub>
                <m:r>
                  <m:t>i</m:t>
                </m:r>
              </m:sub>
            </m:sSub>
            <m:r>
              <m:t>−</m:t>
            </m:r>
            <m:bar>
              <m:barPr>
                <m:pos m:val="top"/>
              </m:barPr>
              <m:e>
                <m:r>
                  <m:t>X</m:t>
                </m:r>
              </m:e>
            </m:bar>
            <m:r>
              <m:t>)</m:t>
            </m:r>
            <m:r>
              <m:t>(</m:t>
            </m:r>
            <m:sSub>
              <m:e>
                <m:r>
                  <m:t>X</m:t>
                </m:r>
              </m:e>
              <m:sub>
                <m:r>
                  <m:t>j</m:t>
                </m:r>
              </m:sub>
            </m:sSub>
            <m:r>
              <m:t>−</m:t>
            </m:r>
            <m:bar>
              <m:barPr>
                <m:pos m:val="top"/>
              </m:barPr>
              <m:e>
                <m:r>
                  <m:t>X</m:t>
                </m:r>
              </m:e>
            </m:bar>
            <m:r>
              <m:t>)</m:t>
            </m:r>
          </m:num>
          <m:den>
            <m:nary>
              <m:naryPr>
                <m:chr m:val="∑"/>
                <m:limLoc m:val="undOvr"/>
                <m:subHide m:val="0"/>
                <m:supHide m:val="1"/>
              </m:naryPr>
              <m:sub>
                <m:r>
                  <m:t>i</m:t>
                </m:r>
              </m:sub>
              <m:sup>
                <m:r>
                  <m:t>​</m:t>
                </m:r>
              </m:sup>
              <m:e>
                <m:r>
                  <m:t>(</m:t>
                </m:r>
              </m:e>
            </m:nary>
            <m:sSub>
              <m:e>
                <m:r>
                  <m:t>X</m:t>
                </m:r>
              </m:e>
              <m:sub>
                <m:r>
                  <m:t>i</m:t>
                </m:r>
              </m:sub>
            </m:sSub>
            <m:r>
              <m:t>−</m:t>
            </m:r>
            <m:bar>
              <m:barPr>
                <m:pos m:val="top"/>
              </m:barPr>
              <m:e>
                <m:r>
                  <m:t>X</m:t>
                </m:r>
              </m:e>
            </m:bar>
            <m:sSup>
              <m:e>
                <m:r>
                  <m:t>)</m:t>
                </m:r>
              </m:e>
              <m:sup>
                <m:r>
                  <m:t>2</m:t>
                </m:r>
              </m:sup>
            </m:sSup>
          </m:den>
        </m:f>
      </m:oMath>
      <w:r>
        <w:t xml:space="preserve">, де</w:t>
      </w:r>
      <w:r>
        <w:t xml:space="preserve"> </w:t>
      </w:r>
      <m:oMath>
        <m:r>
          <m:t>N</m:t>
        </m:r>
      </m:oMath>
      <w:r>
        <w:t xml:space="preserve"> </w:t>
      </w:r>
      <w:r>
        <w:t xml:space="preserve">– кількість просторових одиниць (наприклад, міст, регіонів);</w:t>
      </w:r>
      <w:r>
        <w:t xml:space="preserve"> </w:t>
      </w:r>
      <m:oMath>
        <m:r>
          <m:t>I</m:t>
        </m:r>
        <m:r>
          <m:t> </m:t>
        </m:r>
        <m:r>
          <m:t>j</m:t>
        </m:r>
      </m:oMath>
      <w:r>
        <w:t xml:space="preserve"> </w:t>
      </w:r>
      <w:r>
        <w:t xml:space="preserve">– індекси просторових одиниць;</w:t>
      </w:r>
      <w:r>
        <w:t xml:space="preserve"> </w:t>
      </w:r>
      <m:oMath>
        <m:r>
          <m:t>X</m:t>
        </m:r>
      </m:oMath>
      <w:r>
        <w:t xml:space="preserve"> </w:t>
      </w:r>
      <w:r>
        <w:t xml:space="preserve">– значення змінної для просторової одиниці;</w:t>
      </w:r>
      <w:r>
        <w:t xml:space="preserve"> </w:t>
      </w:r>
      <m:oMath>
        <m:bar>
          <m:barPr>
            <m:pos m:val="top"/>
          </m:barPr>
          <m:e>
            <m:r>
              <m:t>X</m:t>
            </m:r>
          </m:e>
        </m:bar>
      </m:oMath>
      <w:r>
        <w:t xml:space="preserve"> </w:t>
      </w:r>
      <w:r>
        <w:t xml:space="preserve">– середнє від</w:t>
      </w:r>
      <w:r>
        <w:t xml:space="preserve"> </w:t>
      </w:r>
      <m:oMath>
        <m:r>
          <m:t>Х</m:t>
        </m:r>
      </m:oMath>
      <w:r>
        <w:t xml:space="preserve">;</w:t>
      </w:r>
      <w:r>
        <w:t xml:space="preserve"> </w:t>
      </w:r>
      <m:oMath>
        <m:sSub>
          <m:e>
            <m:r>
              <m:t>w</m:t>
            </m:r>
          </m:e>
          <m:sub>
            <m:r>
              <m:t>i</m:t>
            </m:r>
            <m:r>
              <m:t>j</m:t>
            </m:r>
          </m:sub>
        </m:sSub>
      </m:oMath>
      <w:r>
        <w:t xml:space="preserve"> </w:t>
      </w:r>
      <w:r>
        <w:t xml:space="preserve">– матриця просторових значень. [3]</w:t>
      </w:r>
    </w:p>
    <w:p>
      <w:pPr>
        <w:pStyle w:val="BodyText"/>
      </w:pPr>
      <w:r>
        <w:t xml:space="preserve">Варто сказати, що індекс Морана є не єдиним, що використовується для обчислення автокореляції у просторі. Використовують також Geary’s C для визначення автокореляції на невеликих відстання. Тому цей показник називаєть індексом локальної просторової автокореляції. Однак обчислення автокореляції – це був фінальний етап нашої роботи. Для цього необхидно було здійснити велику підготовчу роботу.</w:t>
      </w:r>
    </w:p>
    <w:p>
      <w:pPr>
        <w:pStyle w:val="BodyText"/>
      </w:pPr>
      <w:r>
        <w:t xml:space="preserve">Алгоритм роботи був наступним:</w:t>
      </w:r>
    </w:p>
    <w:p>
      <w:pPr>
        <w:pStyle w:val="Compact"/>
        <w:numPr>
          <w:numId w:val="1016"/>
          <w:ilvl w:val="0"/>
        </w:numPr>
      </w:pPr>
      <w:r>
        <w:t xml:space="preserve">Підготовка даних масивів 7-х хвиль ЄСС до роботи в R. За допомогою бібліотеки foreign масиви було імпортовано для подальшої статистичної обробки.</w:t>
      </w:r>
    </w:p>
    <w:p>
      <w:pPr>
        <w:pStyle w:val="Compact"/>
        <w:numPr>
          <w:numId w:val="1016"/>
          <w:ilvl w:val="0"/>
        </w:numPr>
      </w:pPr>
      <w:r>
        <w:t xml:space="preserve">Компонування змінних дослідження. Нас з усіх великих масивів цікавили змінні, що містили інформацію про особисті цінності, вік, країну та регіон респондентів. Однак змінні з цінностями необхідно було ще окремо вирахувати, оскільки вони визначалися через 2-3 питання. Плюс до цього 10 класичних цінностей Шварца для зручності роботи ми перетворили в 4-ри.</w:t>
      </w:r>
    </w:p>
    <w:p>
      <w:pPr>
        <w:pStyle w:val="Compact"/>
        <w:numPr>
          <w:numId w:val="1016"/>
          <w:ilvl w:val="0"/>
        </w:numPr>
      </w:pPr>
      <w:r>
        <w:t xml:space="preserve">Обробка масивів. Оскільки дослідження у нас порівняльне, то для зручності потрібні змінні потрібно було поєднати в одну таблицю і далі вже працювати з нею. Для кожного масиву було пораховано значення 4-х узагальнених цінностей по кожному регіону, що містився у масиві. Далі 7-м отриманих масивів було поєднано в один за ознакою регіон. Таким чином, ми отримали робочу таблицю розміром, що містила поля регіонів та змінні цінностей по кожній хвилі дослідження.</w:t>
      </w:r>
    </w:p>
    <w:p>
      <w:pPr>
        <w:numPr>
          <w:numId w:val="1016"/>
          <w:ilvl w:val="0"/>
        </w:numPr>
      </w:pPr>
      <w:r>
        <w:t xml:space="preserve">Щоб мати можливість визначити індекс автокореляції до існуючих змінних в таблиці необхідно було додати змінні географічних координат. Тут варто зауважити, що технічно можна було порахувати автокореляції цінностей двома способами. Перший спосіб полягає в розрахунку показника відштовхуючись від центрів регіонів (центроїдів). Цей спосіб легший у реалізації, дозволяє рахувати автокореляцію для усіх регіонів, однак може некоректно встановлювати факт сусідства (сусідство тут встановлюється не за фактом спільного кордону, а за критерієм близькості в евклідовому просторі (це теж не зовсім коректно) чи за принципом k найближчих сусідів, коли ми встановлюємо, скільки найближчих точок вважати сусідніми. Ми обрали спосіб більш коректний - автокореляцію за полігонами, де сусідні регіони встановлювалися за фактом наявності спільного кордону. Такий спосіб також має свої обмеження, оскільки ми не можемо знайти жодного сусіда для регіону, який повністю знаходиться на острові, тому, коли рахувався індекс не було враховано при цьому вплив таких регіонів як Крит, Корсика, Сицілія та Сардинія. Однак таких регіонів небагато, щоб сильно спотворити висновки, та ми їх розглянули додатково через графічний аналіз.</w:t>
      </w:r>
    </w:p>
    <w:p>
      <w:pPr>
        <w:numPr>
          <w:numId w:val="1016"/>
          <w:ilvl w:val="0"/>
        </w:numPr>
      </w:pPr>
      <w:r>
        <w:t xml:space="preserve">Перевірка гіпотези, що полягала в обрахуванні індексу автокореляції Морана.</w:t>
      </w:r>
    </w:p>
    <w:p>
      <w:pPr>
        <w:pStyle w:val="FirstParagraph"/>
      </w:pPr>
      <w:r>
        <w:t xml:space="preserve">Обчислити Індекс Морана в R можна в двох бібліотеках: у бібліотеці</w:t>
      </w:r>
      <w:r>
        <w:t xml:space="preserve"> </w:t>
      </w:r>
      <w:r>
        <w:rPr>
          <w:b/>
        </w:rPr>
        <w:t xml:space="preserve">apa</w:t>
      </w:r>
      <w:r>
        <w:t xml:space="preserve"> </w:t>
      </w:r>
      <w:r>
        <w:t xml:space="preserve">- автокореляцію за точками, а в бібліотеці</w:t>
      </w:r>
      <w:r>
        <w:t xml:space="preserve"> </w:t>
      </w:r>
      <w:r>
        <w:rPr>
          <w:b/>
        </w:rPr>
        <w:t xml:space="preserve">spdep</w:t>
      </w:r>
      <w:r>
        <w:t xml:space="preserve"> </w:t>
      </w:r>
      <w:r>
        <w:t xml:space="preserve">- автокореляцію за полігонами. Оскільки ми використовували другу бібліотеку також додатково було проведено роботу з уніфікації назв регіонів у різних хвилях ЄСС (через переіменування, адміністративні реформи та банальну зміну принципу розбивки країни на регіони організаторами ЄСС їх назви та величина у різних хвилях ЄСС в рамках однієї країни могли різнитися), аби дані різних хвиль узгоджувалися між собою.</w:t>
      </w:r>
    </w:p>
    <w:p>
      <w:pPr>
        <w:pStyle w:val="BodyText"/>
      </w:pPr>
      <w:r>
        <w:t xml:space="preserve">Робочий масив формату SpatialPolygonDataFrame являє собою набір значнь координат меж регіонів та значень цінностей, які ми взяли із масивів ЄСС. Такий масив далі подавався на вхід в функцію розрахунку коефіцієнту автокореляції Морана. На виході ми отримували значення коефіцієнту та p-value. Останнє свідчить про те, чи можемо ми на основі спостережуваного значення робити висновок щодо гіпотези.</w:t>
      </w:r>
    </w:p>
    <w:p>
      <w:pPr>
        <w:pStyle w:val="BodyText"/>
      </w:pPr>
      <w:r>
        <w:t xml:space="preserve">На практиці функція робить матриці точок з нулями і одиницями. Одиниця позначає наявність зв’язку одного регіону з іншим. Потім іде визначення наскільки ці сусіди за значенням змінної є сусідами в географічному просторі. Збіг цих сусідств і є просторовою автокореляцією.</w:t>
      </w:r>
    </w:p>
    <w:p>
      <w:pPr>
        <w:pStyle w:val="BodyText"/>
      </w:pPr>
      <w:r>
        <w:t xml:space="preserve">При аналізі потрібно зважати ще і на те, що сам Європейський Союз та учасники дослідження постійно змінювалися. Далеко не всі країни брали участь у дослідженні постійно. Плюс до цього при опитуванні в різних країнах у різних хвилях дослідження використовувався інколи різний поділ регіонів. Тому бували ситуації, коли країна брала участь в дослідженні постійно, але регіони в масиві присутні були різними.</w:t>
      </w:r>
    </w:p>
    <w:p>
      <w:pPr>
        <w:pStyle w:val="BodyText"/>
      </w:pPr>
      <w:r>
        <w:t xml:space="preserve">Ми виділили 5 груп країн:</w:t>
      </w:r>
    </w:p>
    <w:p>
      <w:pPr>
        <w:pStyle w:val="Compact"/>
        <w:numPr>
          <w:numId w:val="1017"/>
          <w:ilvl w:val="0"/>
        </w:numPr>
      </w:pPr>
      <w:r>
        <w:t xml:space="preserve">Всі країни, що брали участь в дослідженні хоч одного разу. Вона нам цікаві найбільше з тої точки зору, що через них ми можемо перевірити, наскільки впливає на показник зміна учасників опитування.</w:t>
      </w:r>
    </w:p>
    <w:p>
      <w:pPr>
        <w:pStyle w:val="Compact"/>
        <w:numPr>
          <w:numId w:val="1017"/>
          <w:ilvl w:val="0"/>
        </w:numPr>
      </w:pPr>
      <w:r>
        <w:t xml:space="preserve">Країни, що брали участь в дослідженні і були членами ЄС станом на 2002 рік.</w:t>
      </w:r>
    </w:p>
    <w:p>
      <w:pPr>
        <w:pStyle w:val="Compact"/>
        <w:numPr>
          <w:numId w:val="1017"/>
          <w:ilvl w:val="0"/>
        </w:numPr>
      </w:pPr>
      <w:r>
        <w:t xml:space="preserve">Країни, що брали участь в дослідженні і були членами ЄС станом на 2004 рік.</w:t>
      </w:r>
      <w:r>
        <w:t xml:space="preserve"> </w:t>
      </w:r>
      <w:r>
        <w:t xml:space="preserve">До попереднього масиву додалися Польща, Угорщина, Словенія, Словаччина, Чехія, Литва, Естонія, Латвія.</w:t>
      </w:r>
    </w:p>
    <w:p>
      <w:pPr>
        <w:pStyle w:val="Compact"/>
        <w:numPr>
          <w:numId w:val="1017"/>
          <w:ilvl w:val="0"/>
        </w:numPr>
      </w:pPr>
      <w:r>
        <w:t xml:space="preserve">Країни, що брали участь в дослідженні і були членами ЄС станом на 2007 рік.</w:t>
      </w:r>
      <w:r>
        <w:t xml:space="preserve"> </w:t>
      </w:r>
      <w:r>
        <w:t xml:space="preserve">До попереднього масиву додалася Болгарія та Румунія.</w:t>
      </w:r>
    </w:p>
    <w:p>
      <w:pPr>
        <w:pStyle w:val="Compact"/>
        <w:numPr>
          <w:numId w:val="1017"/>
          <w:ilvl w:val="0"/>
        </w:numPr>
      </w:pPr>
      <w:r>
        <w:t xml:space="preserve">Країни, які брали участь в усіх хвилях дослідження.</w:t>
      </w:r>
    </w:p>
    <w:p>
      <w:pPr>
        <w:pStyle w:val="Heading2"/>
      </w:pPr>
      <w:bookmarkStart w:id="38" w:name="---"/>
      <w:r>
        <w:t xml:space="preserve">Всі країни з масиву</w:t>
      </w:r>
      <w:bookmarkEnd w:id="38"/>
    </w:p>
    <w:p>
      <w:pPr>
        <w:pStyle w:val="FirstParagraph"/>
      </w:pPr>
      <w:r>
        <w:t xml:space="preserve">За аналізом динаміки автокореляції цінностей в усіх країнах Європи ми зафіксували загальну тенденцію до росту інтеграції європейських держав. Так, наприклад, якщо станом на 2002 рік автокореляція за цінністю відкритості до змін становила 0.67, то уже в 2016 році цей показник зріс до 0.78. За іншими цінностями ми також бачимо ріст автокореляції. Цінність відкитості до змін наразі в європейських країнах проявляється найбільш схоже.</w:t>
      </w:r>
    </w:p>
    <w:p>
      <w:pPr>
        <w:pStyle w:val="BodyText"/>
      </w:pPr>
      <w:r>
        <w:rPr>
          <w:b/>
        </w:rPr>
        <w:t xml:space="preserve">Таблиця 1. Динаміка автокореляції цінностей</w:t>
      </w:r>
      <w:r>
        <w:rPr>
          <w:b/>
        </w:rPr>
        <w:t xml:space="preserve"> </w:t>
      </w:r>
    </w:p>
    <w:tbl>
      <w:tblPr>
        <w:tblStyle w:val="Table"/>
        <w:tblW w:type="pct" w:w="0.0"/>
        <w:tblLook w:firstRow="1"/>
      </w:tblPr>
      <w:tblGrid/>
      <w:tr>
        <w:trPr>
          <w:cnfStyle w:firstRow="1"/>
        </w:trPr>
        <w:tc>
          <w:tcPr>
            <w:tcBorders>
              <w:bottom w:val="single"/>
            </w:tcBorders>
            <w:vAlign w:val="bottom"/>
          </w:tcPr>
          <w:p>
            <w:pPr>
              <w:pStyle w:val="Compact"/>
              <w:jc w:val="left"/>
            </w:pPr>
            <w:r>
              <w:t xml:space="preserve">round</w:t>
            </w:r>
          </w:p>
        </w:tc>
        <w:tc>
          <w:tcPr>
            <w:tcBorders>
              <w:bottom w:val="single"/>
            </w:tcBorders>
            <w:vAlign w:val="bottom"/>
          </w:tcPr>
          <w:p>
            <w:pPr>
              <w:pStyle w:val="Compact"/>
              <w:jc w:val="right"/>
            </w:pPr>
            <w:r>
              <w:t xml:space="preserve">Conservation</w:t>
            </w:r>
          </w:p>
        </w:tc>
        <w:tc>
          <w:tcPr>
            <w:tcBorders>
              <w:bottom w:val="single"/>
            </w:tcBorders>
            <w:vAlign w:val="bottom"/>
          </w:tcPr>
          <w:p>
            <w:pPr>
              <w:pStyle w:val="Compact"/>
              <w:jc w:val="right"/>
            </w:pPr>
            <w:r>
              <w:t xml:space="preserve">Openness to Change</w:t>
            </w:r>
          </w:p>
        </w:tc>
        <w:tc>
          <w:tcPr>
            <w:tcBorders>
              <w:bottom w:val="single"/>
            </w:tcBorders>
            <w:vAlign w:val="bottom"/>
          </w:tcPr>
          <w:p>
            <w:pPr>
              <w:pStyle w:val="Compact"/>
              <w:jc w:val="right"/>
            </w:pPr>
            <w:r>
              <w:t xml:space="preserve">Self-Enhancement</w:t>
            </w:r>
          </w:p>
        </w:tc>
        <w:tc>
          <w:tcPr>
            <w:tcBorders>
              <w:bottom w:val="single"/>
            </w:tcBorders>
            <w:vAlign w:val="bottom"/>
          </w:tcPr>
          <w:p>
            <w:pPr>
              <w:pStyle w:val="Compact"/>
              <w:jc w:val="right"/>
            </w:pPr>
            <w:r>
              <w:t xml:space="preserve">Self-Trancendence</w:t>
            </w:r>
          </w:p>
        </w:tc>
      </w:tr>
      <w:tr>
        <w:tc>
          <w:p>
            <w:pPr>
              <w:pStyle w:val="Compact"/>
              <w:jc w:val="left"/>
            </w:pPr>
            <w:r>
              <w:t xml:space="preserve">1</w:t>
            </w:r>
          </w:p>
        </w:tc>
        <w:tc>
          <w:p>
            <w:pPr>
              <w:pStyle w:val="Compact"/>
              <w:jc w:val="right"/>
            </w:pPr>
            <w:r>
              <w:t xml:space="preserve">0.5698884</w:t>
            </w:r>
          </w:p>
        </w:tc>
        <w:tc>
          <w:p>
            <w:pPr>
              <w:pStyle w:val="Compact"/>
              <w:jc w:val="right"/>
            </w:pPr>
            <w:r>
              <w:t xml:space="preserve">0.6033045</w:t>
            </w:r>
          </w:p>
        </w:tc>
        <w:tc>
          <w:p>
            <w:pPr>
              <w:pStyle w:val="Compact"/>
              <w:jc w:val="right"/>
            </w:pPr>
            <w:r>
              <w:t xml:space="preserve">0.4916112</w:t>
            </w:r>
          </w:p>
        </w:tc>
        <w:tc>
          <w:p>
            <w:pPr>
              <w:pStyle w:val="Compact"/>
              <w:jc w:val="right"/>
            </w:pPr>
            <w:r>
              <w:t xml:space="preserve">0.4564221</w:t>
            </w:r>
          </w:p>
        </w:tc>
      </w:tr>
      <w:tr>
        <w:tc>
          <w:p>
            <w:pPr>
              <w:pStyle w:val="Compact"/>
              <w:jc w:val="left"/>
            </w:pPr>
            <w:r>
              <w:t xml:space="preserve">2</w:t>
            </w:r>
          </w:p>
        </w:tc>
        <w:tc>
          <w:p>
            <w:pPr>
              <w:pStyle w:val="Compact"/>
              <w:jc w:val="right"/>
            </w:pPr>
            <w:r>
              <w:t xml:space="preserve">0.4685369</w:t>
            </w:r>
          </w:p>
        </w:tc>
        <w:tc>
          <w:p>
            <w:pPr>
              <w:pStyle w:val="Compact"/>
              <w:jc w:val="right"/>
            </w:pPr>
            <w:r>
              <w:t xml:space="preserve">0.5145879</w:t>
            </w:r>
          </w:p>
        </w:tc>
        <w:tc>
          <w:p>
            <w:pPr>
              <w:pStyle w:val="Compact"/>
              <w:jc w:val="right"/>
            </w:pPr>
            <w:r>
              <w:t xml:space="preserve">0.5995141</w:t>
            </w:r>
          </w:p>
        </w:tc>
        <w:tc>
          <w:p>
            <w:pPr>
              <w:pStyle w:val="Compact"/>
              <w:jc w:val="right"/>
            </w:pPr>
            <w:r>
              <w:t xml:space="preserve">0.5536316</w:t>
            </w:r>
          </w:p>
        </w:tc>
      </w:tr>
      <w:tr>
        <w:tc>
          <w:p>
            <w:pPr>
              <w:pStyle w:val="Compact"/>
              <w:jc w:val="left"/>
            </w:pPr>
            <w:r>
              <w:t xml:space="preserve">3</w:t>
            </w:r>
          </w:p>
        </w:tc>
        <w:tc>
          <w:p>
            <w:pPr>
              <w:pStyle w:val="Compact"/>
              <w:jc w:val="right"/>
            </w:pPr>
            <w:r>
              <w:t xml:space="preserve">0.5549906</w:t>
            </w:r>
          </w:p>
        </w:tc>
        <w:tc>
          <w:p>
            <w:pPr>
              <w:pStyle w:val="Compact"/>
              <w:jc w:val="right"/>
            </w:pPr>
            <w:r>
              <w:t xml:space="preserve">0.5485743</w:t>
            </w:r>
          </w:p>
        </w:tc>
        <w:tc>
          <w:p>
            <w:pPr>
              <w:pStyle w:val="Compact"/>
              <w:jc w:val="right"/>
            </w:pPr>
            <w:r>
              <w:t xml:space="preserve">0.6104624</w:t>
            </w:r>
          </w:p>
        </w:tc>
        <w:tc>
          <w:p>
            <w:pPr>
              <w:pStyle w:val="Compact"/>
              <w:jc w:val="right"/>
            </w:pPr>
            <w:r>
              <w:t xml:space="preserve">0.4614227</w:t>
            </w:r>
          </w:p>
        </w:tc>
      </w:tr>
      <w:tr>
        <w:tc>
          <w:p>
            <w:pPr>
              <w:pStyle w:val="Compact"/>
              <w:jc w:val="left"/>
            </w:pPr>
            <w:r>
              <w:t xml:space="preserve">4</w:t>
            </w:r>
          </w:p>
        </w:tc>
        <w:tc>
          <w:p>
            <w:pPr>
              <w:pStyle w:val="Compact"/>
              <w:jc w:val="right"/>
            </w:pPr>
            <w:r>
              <w:t xml:space="preserve">0.4813233</w:t>
            </w:r>
          </w:p>
        </w:tc>
        <w:tc>
          <w:p>
            <w:pPr>
              <w:pStyle w:val="Compact"/>
              <w:jc w:val="right"/>
            </w:pPr>
            <w:r>
              <w:t xml:space="preserve">0.5883451</w:t>
            </w:r>
          </w:p>
        </w:tc>
        <w:tc>
          <w:p>
            <w:pPr>
              <w:pStyle w:val="Compact"/>
              <w:jc w:val="right"/>
            </w:pPr>
            <w:r>
              <w:t xml:space="preserve">0.6239091</w:t>
            </w:r>
          </w:p>
        </w:tc>
        <w:tc>
          <w:p>
            <w:pPr>
              <w:pStyle w:val="Compact"/>
              <w:jc w:val="right"/>
            </w:pPr>
            <w:r>
              <w:t xml:space="preserve">0.5686554</w:t>
            </w:r>
          </w:p>
        </w:tc>
      </w:tr>
      <w:tr>
        <w:tc>
          <w:p>
            <w:pPr>
              <w:pStyle w:val="Compact"/>
              <w:jc w:val="left"/>
            </w:pPr>
            <w:r>
              <w:t xml:space="preserve">5</w:t>
            </w:r>
          </w:p>
        </w:tc>
        <w:tc>
          <w:p>
            <w:pPr>
              <w:pStyle w:val="Compact"/>
              <w:jc w:val="right"/>
            </w:pPr>
            <w:r>
              <w:t xml:space="preserve">0.5705076</w:t>
            </w:r>
          </w:p>
        </w:tc>
        <w:tc>
          <w:p>
            <w:pPr>
              <w:pStyle w:val="Compact"/>
              <w:jc w:val="right"/>
            </w:pPr>
            <w:r>
              <w:t xml:space="preserve">0.5718877</w:t>
            </w:r>
          </w:p>
        </w:tc>
        <w:tc>
          <w:p>
            <w:pPr>
              <w:pStyle w:val="Compact"/>
              <w:jc w:val="right"/>
            </w:pPr>
            <w:r>
              <w:t xml:space="preserve">0.6373147</w:t>
            </w:r>
          </w:p>
        </w:tc>
        <w:tc>
          <w:p>
            <w:pPr>
              <w:pStyle w:val="Compact"/>
              <w:jc w:val="right"/>
            </w:pPr>
            <w:r>
              <w:t xml:space="preserve">0.5179894</w:t>
            </w:r>
          </w:p>
        </w:tc>
      </w:tr>
      <w:tr>
        <w:tc>
          <w:p>
            <w:pPr>
              <w:pStyle w:val="Compact"/>
              <w:jc w:val="left"/>
            </w:pPr>
            <w:r>
              <w:t xml:space="preserve">6</w:t>
            </w:r>
          </w:p>
        </w:tc>
        <w:tc>
          <w:p>
            <w:pPr>
              <w:pStyle w:val="Compact"/>
              <w:jc w:val="right"/>
            </w:pPr>
            <w:r>
              <w:t xml:space="preserve">0.7028631</w:t>
            </w:r>
          </w:p>
        </w:tc>
        <w:tc>
          <w:p>
            <w:pPr>
              <w:pStyle w:val="Compact"/>
              <w:jc w:val="right"/>
            </w:pPr>
            <w:r>
              <w:t xml:space="preserve">0.7148381</w:t>
            </w:r>
          </w:p>
        </w:tc>
        <w:tc>
          <w:p>
            <w:pPr>
              <w:pStyle w:val="Compact"/>
              <w:jc w:val="right"/>
            </w:pPr>
            <w:r>
              <w:t xml:space="preserve">0.6799132</w:t>
            </w:r>
          </w:p>
        </w:tc>
        <w:tc>
          <w:p>
            <w:pPr>
              <w:pStyle w:val="Compact"/>
              <w:jc w:val="right"/>
            </w:pPr>
            <w:r>
              <w:t xml:space="preserve">0.6285916</w:t>
            </w:r>
          </w:p>
        </w:tc>
      </w:tr>
      <w:tr>
        <w:tc>
          <w:p>
            <w:pPr>
              <w:pStyle w:val="Compact"/>
              <w:jc w:val="left"/>
            </w:pPr>
            <w:r>
              <w:t xml:space="preserve">7</w:t>
            </w:r>
          </w:p>
        </w:tc>
        <w:tc>
          <w:p>
            <w:pPr>
              <w:pStyle w:val="Compact"/>
              <w:jc w:val="right"/>
            </w:pPr>
            <w:r>
              <w:t xml:space="preserve">0.5252520</w:t>
            </w:r>
          </w:p>
        </w:tc>
        <w:tc>
          <w:p>
            <w:pPr>
              <w:pStyle w:val="Compact"/>
              <w:jc w:val="right"/>
            </w:pPr>
            <w:r>
              <w:t xml:space="preserve">0.5748510</w:t>
            </w:r>
          </w:p>
        </w:tc>
        <w:tc>
          <w:p>
            <w:pPr>
              <w:pStyle w:val="Compact"/>
              <w:jc w:val="right"/>
            </w:pPr>
            <w:r>
              <w:t xml:space="preserve">0.7582031</w:t>
            </w:r>
          </w:p>
        </w:tc>
        <w:tc>
          <w:p>
            <w:pPr>
              <w:pStyle w:val="Compact"/>
              <w:jc w:val="right"/>
            </w:pPr>
            <w:r>
              <w:t xml:space="preserve">0.6249175</w:t>
            </w:r>
          </w:p>
        </w:tc>
      </w:tr>
      <w:tr>
        <w:tc>
          <w:p>
            <w:pPr>
              <w:pStyle w:val="Compact"/>
              <w:jc w:val="left"/>
            </w:pPr>
            <w:r>
              <w:t xml:space="preserve">8</w:t>
            </w:r>
          </w:p>
        </w:tc>
        <w:tc>
          <w:p>
            <w:pPr>
              <w:pStyle w:val="Compact"/>
              <w:jc w:val="right"/>
            </w:pPr>
            <w:r>
              <w:t xml:space="preserve">0.5093803</w:t>
            </w:r>
          </w:p>
        </w:tc>
        <w:tc>
          <w:p>
            <w:pPr>
              <w:pStyle w:val="Compact"/>
              <w:jc w:val="right"/>
            </w:pPr>
            <w:r>
              <w:t xml:space="preserve">0.5439872</w:t>
            </w:r>
          </w:p>
        </w:tc>
        <w:tc>
          <w:p>
            <w:pPr>
              <w:pStyle w:val="Compact"/>
              <w:jc w:val="right"/>
            </w:pPr>
            <w:r>
              <w:t xml:space="preserve">0.7130754</w:t>
            </w:r>
          </w:p>
        </w:tc>
        <w:tc>
          <w:p>
            <w:pPr>
              <w:pStyle w:val="Compact"/>
              <w:jc w:val="right"/>
            </w:pPr>
            <w:r>
              <w:t xml:space="preserve">0.7005720</w:t>
            </w:r>
          </w:p>
        </w:tc>
      </w:tr>
    </w:tbl>
    <w:p>
      <w:pPr>
        <w:pStyle w:val="BodyText"/>
      </w:pPr>
      <w:r>
        <w:t xml:space="preserve">З малюнку 1 видно, що тенденція до росту показника автокореляції не є лінійною, зокрема під час 4-6 хвиль було навіть зафіксовано його зниження. Це пов’язано (як й інші коливання) з тим, що саме тоді до дослідження долучилось багато країн Східної Європи, у тому числі Росія. Проте після цього автокореляція виросла. Тут ми не можемо однозначно сказати, чи не був викликаний ріст показників саме збільшенням інтеграції, тому додатково проаналізували автокореляцію за поколіннями.</w:t>
      </w:r>
    </w:p>
    <w:p>
      <w:pPr>
        <w:pStyle w:val="BodyText"/>
      </w:pPr>
      <w:r>
        <w:rPr>
          <w:b/>
        </w:rPr>
        <w:t xml:space="preserve">Малюнок 1. Значення індексу Морана за хвилями ЄСС у розрізі 4-х цінностей</w:t>
      </w:r>
    </w:p>
    <w:p>
      <w:pPr>
        <w:pStyle w:val="BodyText"/>
      </w:pPr>
      <w:r>
        <w:drawing>
          <wp:inline>
            <wp:extent cx="5930900" cy="3389085"/>
            <wp:effectExtent b="0" l="0" r="0" t="0"/>
            <wp:docPr descr="" title="" id="1" name="Picture"/>
            <a:graphic>
              <a:graphicData uri="http://schemas.openxmlformats.org/drawingml/2006/picture">
                <pic:pic>
                  <pic:nvPicPr>
                    <pic:cNvPr descr="masters_thesis_files/figure-docx/q_plot%20-1.png" id="0" name="Picture"/>
                    <pic:cNvPicPr>
                      <a:picLocks noChangeArrowheads="1" noChangeAspect="1"/>
                    </pic:cNvPicPr>
                  </pic:nvPicPr>
                  <pic:blipFill>
                    <a:blip r:embed="rId39"/>
                    <a:stretch>
                      <a:fillRect/>
                    </a:stretch>
                  </pic:blipFill>
                  <pic:spPr bwMode="auto">
                    <a:xfrm>
                      <a:off x="0" y="0"/>
                      <a:ext cx="5930900" cy="3389085"/>
                    </a:xfrm>
                    <a:prstGeom prst="rect">
                      <a:avLst/>
                    </a:prstGeom>
                    <a:noFill/>
                    <a:ln w="9525">
                      <a:noFill/>
                      <a:headEnd/>
                      <a:tailEnd/>
                    </a:ln>
                  </pic:spPr>
                </pic:pic>
              </a:graphicData>
            </a:graphic>
          </wp:inline>
        </w:drawing>
      </w:r>
    </w:p>
    <w:p>
      <w:pPr>
        <w:pStyle w:val="BodyText"/>
      </w:pPr>
      <w:r>
        <w:t xml:space="preserve">Як виявилось, покоління різні покоління європейців демонструють різну ступінь спорідненості. Так, молодь (до 35 років) та представники середнього віку (35-60 років) значно інтегрованіші в загальноєвропейський простір, ніж старше покоління (60+ років). Особливо сильні відмінності за цінностями консерватизму та самотрансцендентності, що можна побачити з таблиці 2.</w:t>
      </w:r>
    </w:p>
    <w:p>
      <w:pPr>
        <w:pStyle w:val="BodyText"/>
      </w:pPr>
      <w:r>
        <w:rPr>
          <w:b/>
        </w:rPr>
        <w:t xml:space="preserve">Таблиця 2. Просторова автокореляція цінностей для вікових груп</w:t>
      </w:r>
    </w:p>
    <w:tbl>
      <w:tblPr>
        <w:tblStyle w:val="Table"/>
        <w:tblW w:type="pct" w:w="0.0"/>
        <w:tblLook w:firstRow="1"/>
      </w:tblPr>
      <w:tblGrid/>
      <w:tr>
        <w:trPr>
          <w:cnfStyle w:firstRow="1"/>
        </w:trPr>
        <w:tc>
          <w:tcPr>
            <w:tcBorders>
              <w:bottom w:val="single"/>
            </w:tcBorders>
            <w:vAlign w:val="bottom"/>
          </w:tcPr>
          <w:p>
            <w:pPr>
              <w:pStyle w:val="Compact"/>
              <w:jc w:val="left"/>
            </w:pPr>
            <w:r>
              <w:t xml:space="preserve">Вікова група</w:t>
            </w:r>
          </w:p>
        </w:tc>
        <w:tc>
          <w:tcPr>
            <w:tcBorders>
              <w:bottom w:val="single"/>
            </w:tcBorders>
            <w:vAlign w:val="bottom"/>
          </w:tcPr>
          <w:p>
            <w:pPr>
              <w:pStyle w:val="Compact"/>
              <w:jc w:val="right"/>
            </w:pPr>
            <w:r>
              <w:t xml:space="preserve">Conservation</w:t>
            </w:r>
          </w:p>
        </w:tc>
        <w:tc>
          <w:tcPr>
            <w:tcBorders>
              <w:bottom w:val="single"/>
            </w:tcBorders>
            <w:vAlign w:val="bottom"/>
          </w:tcPr>
          <w:p>
            <w:pPr>
              <w:pStyle w:val="Compact"/>
              <w:jc w:val="right"/>
            </w:pPr>
            <w:r>
              <w:t xml:space="preserve">Openness to Change</w:t>
            </w:r>
          </w:p>
        </w:tc>
        <w:tc>
          <w:tcPr>
            <w:tcBorders>
              <w:bottom w:val="single"/>
            </w:tcBorders>
            <w:vAlign w:val="bottom"/>
          </w:tcPr>
          <w:p>
            <w:pPr>
              <w:pStyle w:val="Compact"/>
              <w:jc w:val="right"/>
            </w:pPr>
            <w:r>
              <w:t xml:space="preserve">Self-Enhancement</w:t>
            </w:r>
          </w:p>
        </w:tc>
        <w:tc>
          <w:tcPr>
            <w:tcBorders>
              <w:bottom w:val="single"/>
            </w:tcBorders>
            <w:vAlign w:val="bottom"/>
          </w:tcPr>
          <w:p>
            <w:pPr>
              <w:pStyle w:val="Compact"/>
              <w:jc w:val="right"/>
            </w:pPr>
            <w:r>
              <w:t xml:space="preserve">Self-Trancendence</w:t>
            </w:r>
          </w:p>
        </w:tc>
      </w:tr>
      <w:tr>
        <w:tc>
          <w:p>
            <w:pPr>
              <w:pStyle w:val="Compact"/>
              <w:jc w:val="left"/>
            </w:pPr>
            <w:r>
              <w:t xml:space="preserve">Молодь (до 35 років)</w:t>
            </w:r>
          </w:p>
        </w:tc>
        <w:tc>
          <w:p>
            <w:pPr>
              <w:pStyle w:val="Compact"/>
              <w:jc w:val="right"/>
            </w:pPr>
            <w:r>
              <w:t xml:space="preserve">0.6054787</w:t>
            </w:r>
          </w:p>
        </w:tc>
        <w:tc>
          <w:p>
            <w:pPr>
              <w:pStyle w:val="Compact"/>
              <w:jc w:val="right"/>
            </w:pPr>
            <w:r>
              <w:t xml:space="preserve">0.6059348</w:t>
            </w:r>
          </w:p>
        </w:tc>
        <w:tc>
          <w:p>
            <w:pPr>
              <w:pStyle w:val="Compact"/>
              <w:jc w:val="right"/>
            </w:pPr>
            <w:r>
              <w:t xml:space="preserve">0.6839064</w:t>
            </w:r>
          </w:p>
        </w:tc>
        <w:tc>
          <w:p>
            <w:pPr>
              <w:pStyle w:val="Compact"/>
              <w:jc w:val="right"/>
            </w:pPr>
            <w:r>
              <w:t xml:space="preserve">0.6900348</w:t>
            </w:r>
          </w:p>
        </w:tc>
      </w:tr>
      <w:tr>
        <w:tc>
          <w:p>
            <w:pPr>
              <w:pStyle w:val="Compact"/>
              <w:jc w:val="left"/>
            </w:pPr>
            <w:r>
              <w:t xml:space="preserve">Середній вік (35-60 років)</w:t>
            </w:r>
          </w:p>
        </w:tc>
        <w:tc>
          <w:p>
            <w:pPr>
              <w:pStyle w:val="Compact"/>
              <w:jc w:val="right"/>
            </w:pPr>
            <w:r>
              <w:t xml:space="preserve">0.6265700</w:t>
            </w:r>
          </w:p>
        </w:tc>
        <w:tc>
          <w:p>
            <w:pPr>
              <w:pStyle w:val="Compact"/>
              <w:jc w:val="right"/>
            </w:pPr>
            <w:r>
              <w:t xml:space="preserve">0.6689483</w:t>
            </w:r>
          </w:p>
        </w:tc>
        <w:tc>
          <w:p>
            <w:pPr>
              <w:pStyle w:val="Compact"/>
              <w:jc w:val="right"/>
            </w:pPr>
            <w:r>
              <w:t xml:space="preserve">0.6753154</w:t>
            </w:r>
          </w:p>
        </w:tc>
        <w:tc>
          <w:p>
            <w:pPr>
              <w:pStyle w:val="Compact"/>
              <w:jc w:val="right"/>
            </w:pPr>
            <w:r>
              <w:t xml:space="preserve">0.6636206</w:t>
            </w:r>
          </w:p>
        </w:tc>
      </w:tr>
      <w:tr>
        <w:tc>
          <w:p>
            <w:pPr>
              <w:pStyle w:val="Compact"/>
              <w:jc w:val="left"/>
            </w:pPr>
            <w:r>
              <w:t xml:space="preserve">Старший вік (60+ років)</w:t>
            </w:r>
          </w:p>
        </w:tc>
        <w:tc>
          <w:p>
            <w:pPr>
              <w:pStyle w:val="Compact"/>
              <w:jc w:val="right"/>
            </w:pPr>
            <w:r>
              <w:t xml:space="preserve">0.5072692</w:t>
            </w:r>
          </w:p>
        </w:tc>
        <w:tc>
          <w:p>
            <w:pPr>
              <w:pStyle w:val="Compact"/>
              <w:jc w:val="right"/>
            </w:pPr>
            <w:r>
              <w:t xml:space="preserve">0.5823515</w:t>
            </w:r>
          </w:p>
        </w:tc>
        <w:tc>
          <w:p>
            <w:pPr>
              <w:pStyle w:val="Compact"/>
              <w:jc w:val="right"/>
            </w:pPr>
            <w:r>
              <w:t xml:space="preserve">0.6214425</w:t>
            </w:r>
          </w:p>
        </w:tc>
        <w:tc>
          <w:p>
            <w:pPr>
              <w:pStyle w:val="Compact"/>
              <w:jc w:val="right"/>
            </w:pPr>
            <w:r>
              <w:t xml:space="preserve">0.4190064</w:t>
            </w:r>
          </w:p>
        </w:tc>
      </w:tr>
    </w:tbl>
    <w:p>
      <w:pPr>
        <w:pStyle w:val="BodyText"/>
      </w:pPr>
      <w:r>
        <w:t xml:space="preserve">Показники автокореляції все ж є загальною характеристикою уніфікованості простору, однак, якщо ми хочемо охарактеризувати основні закономірності розподілу цінностей, то маємо потребу звернутися до графічного аналізу.</w:t>
      </w:r>
    </w:p>
    <w:p>
      <w:pPr>
        <w:pStyle w:val="BodyText"/>
      </w:pPr>
      <w:r>
        <w:rPr>
          <w:b/>
        </w:rPr>
        <w:t xml:space="preserve">Малюнок 2. Карта розподілу цінностей у просторі</w:t>
      </w:r>
    </w:p>
    <w:p>
      <w:pPr>
        <w:pStyle w:val="BodyText"/>
      </w:pPr>
      <w:r>
        <w:drawing>
          <wp:inline>
            <wp:extent cx="5930900" cy="3389085"/>
            <wp:effectExtent b="0" l="0" r="0" t="0"/>
            <wp:docPr descr="" title="" id="1" name="Picture"/>
            <a:graphic>
              <a:graphicData uri="http://schemas.openxmlformats.org/drawingml/2006/picture">
                <pic:pic>
                  <pic:nvPicPr>
                    <pic:cNvPr descr="masters_thesis_files/figure-docx/map%20-1.png" id="0" name="Picture"/>
                    <pic:cNvPicPr>
                      <a:picLocks noChangeArrowheads="1" noChangeAspect="1"/>
                    </pic:cNvPicPr>
                  </pic:nvPicPr>
                  <pic:blipFill>
                    <a:blip r:embed="rId40"/>
                    <a:stretch>
                      <a:fillRect/>
                    </a:stretch>
                  </pic:blipFill>
                  <pic:spPr bwMode="auto">
                    <a:xfrm>
                      <a:off x="0" y="0"/>
                      <a:ext cx="5930900" cy="3389085"/>
                    </a:xfrm>
                    <a:prstGeom prst="rect">
                      <a:avLst/>
                    </a:prstGeom>
                    <a:noFill/>
                    <a:ln w="9525">
                      <a:noFill/>
                      <a:headEnd/>
                      <a:tailEnd/>
                    </a:ln>
                  </pic:spPr>
                </pic:pic>
              </a:graphicData>
            </a:graphic>
          </wp:inline>
        </w:drawing>
      </w:r>
    </w:p>
    <w:p>
      <w:pPr>
        <w:pStyle w:val="BodyText"/>
      </w:pPr>
      <w:r>
        <w:t xml:space="preserve">Так, з карти ми можемо побачити, що ціннісні кордони в Європі розподілені нерівномірно. Наприклад, можна стверджувати, що жителі Франції, Німеччини, Данії, Австрії, Швеції та країн Бенілюксу мають загалом досить схожі цінності (на карті ми не бачимо чіткого кордону між їх сусідніми регіонами). При цьому від них досить сильно відрізняються іспанці, поляки, чехи та італійці, де цінності сусідніх з іншими країнами регіонів помітно відрізняються і ми можемо чітко за кольором побачити меді цих країн. З країн Східної Європи помітно вирізняється Угорщина, яка ціннісно ближча до Захіної Європи, ніж до своїх сусідів. Цікавою є наявність відмінностей між країнами Скандинавії, особливо сильно помітні відмінності між Швецією та Норвегією, яка є історично близькою, але не входитьв Європейський Союз (шведи більш консервативні).</w:t>
      </w:r>
    </w:p>
    <w:tbl>
      <w:tblPr>
        <w:tblStyle w:val="Table"/>
        <w:tblW w:type="pct" w:w="347.22222222222223"/>
        <w:tblLook w:firstRow="0"/>
      </w:tblPr>
      <w:tblGrid>
        <w:gridCol w:w="550"/>
      </w:tblGrid>
      <w:tr>
        <w:tc>
          <w:p>
            <w:pPr>
              <w:pStyle w:val="Compact"/>
              <w:jc w:val="left"/>
            </w:pPr>
            <w:r>
              <w:t xml:space="preserve">Деталізація</w:t>
            </w:r>
          </w:p>
        </w:tc>
      </w:tr>
      <w:tr>
        <w:tc>
          <w:p>
            <w:pPr>
              <w:pStyle w:val="Compact"/>
              <w:jc w:val="left"/>
            </w:pPr>
            <w:r>
              <w:t xml:space="preserve">Ця нерівномірність проявляється також, якщо порахувати окремо коефіцієнт автокореляції Морана для груп країн в залежності від дати їх вступу в ЄС (рахувався показник цінностей усереднений за роки участі для кожного регіону). Так, з Таблиці 3 видно, що чим пізніше група країн була інтегрована, тим менш вона ціннісно схожа на інші країни ЄС. Особливо сильно це помітно за цінністю самовдосконалення, тоді як за цінністю збереження цей зв’язок проявляється не так сильно.</w:t>
            </w:r>
          </w:p>
        </w:tc>
      </w:tr>
      <w:tr>
        <w:tc>
          <w:p>
            <w:pPr>
              <w:pStyle w:val="Compact"/>
              <w:jc w:val="left"/>
            </w:pPr>
            <w:r>
              <w:rPr>
                <w:b/>
              </w:rPr>
              <w:t xml:space="preserve">Таблиця 3. Автокореляція цінностей за групами країн</w:t>
            </w:r>
          </w:p>
        </w:tc>
      </w:tr>
      <w:tr>
        <w:tc>
          <w:p>
            <w:pPr>
              <w:pStyle w:val="Compact"/>
              <w:jc w:val="left"/>
            </w:pPr>
            <w:r>
              <w:rPr>
                <w:rStyle w:val="VerbatimChar"/>
              </w:rPr>
              <w:t xml:space="preserve">r loadd(country_groups) country_groups %&gt;%  knitr::kable()</w:t>
            </w:r>
          </w:p>
        </w:tc>
      </w:tr>
      <w:tr>
        <w:tc>
          <w:p>
            <w:pPr>
              <w:pStyle w:val="Compact"/>
              <w:jc w:val="left"/>
            </w:pPr>
            <w:r>
              <w:t xml:space="preserve">Група країн Conservation Openness to Change Self-Enhancement Self-Trancendence</w:t>
            </w:r>
          </w:p>
        </w:tc>
      </w:tr>
    </w:tbl>
    <w:p>
      <w:pPr>
        <w:pStyle w:val="BodyText"/>
      </w:pPr>
      <w:r>
        <w:t xml:space="preserve">Члени ЄС станом на 2002 рік 0.5482789 0.5642537 0.6802992 0.6248210</w:t>
      </w:r>
      <w:r>
        <w:t xml:space="preserve"> </w:t>
      </w:r>
      <w:r>
        <w:t xml:space="preserve">Члени ЄС станом на 2004 рік 0.6429515 0.7282172 0.6868936 0.6942704</w:t>
      </w:r>
      <w:r>
        <w:t xml:space="preserve"> </w:t>
      </w:r>
      <w:r>
        <w:t xml:space="preserve">Члени ЄС станом на 2007 рік 0.6097321 0.6769301 0.6990331 0.6766502</w:t>
      </w:r>
      <w:r>
        <w:t xml:space="preserve"> </w:t>
      </w:r>
      <w:r>
        <w:t xml:space="preserve">Члени ЄС станом на 2013 рік 0.5929280 0.6332643 0.6924752 0.6607910</w:t>
      </w:r>
      <w:r>
        <w:t xml:space="preserve"> </w:t>
      </w:r>
      <w:r>
        <w:t xml:space="preserve">Всі країни-учасники ЄСС 0.6807916 0.8519855 0.7433976 0.7270514</w:t>
      </w:r>
    </w:p>
    <w:p>
      <w:pPr>
        <w:pStyle w:val="BodyText"/>
      </w:pPr>
      <w:r>
        <w:t xml:space="preserve">Для більш точної оцінки тенденцій ми також окремо розглянули ті країни, які брали участь в усіх 8-ми хвилях ЄСС. Це Німеччина, Бельгія, Нідерланди, Франція, Фінляндія, Угорщина, Ірландія, Норвегія, Польща, Португалія, Словенія, Швеція, Іспанія, Швейцарія та Велика Британія.</w:t>
      </w:r>
    </w:p>
    <w:p>
      <w:pPr>
        <w:pStyle w:val="BodyText"/>
      </w:pPr>
      <w:r>
        <w:t xml:space="preserve">З таблиці нижче видно, що тенденція до інтеграції наявна, хоч наявні деякі коливання показників в окремі роки. Тут не варто забувати, що соціальний контекст також може впливати на актуалізацію тих чи інших цінностей. Особливо, якщо цей контекст притаманний тільки одній із країн, що потенційно може викликати розбіжності, які позначаються на коефіцієнті просторової автокореляції.</w:t>
      </w:r>
    </w:p>
    <w:tbl>
      <w:tblPr>
        <w:tblStyle w:val="Table"/>
        <w:tblW w:type="pct" w:w="0.0"/>
        <w:tblLook w:firstRow="1"/>
      </w:tblPr>
      <w:tblGrid/>
      <w:tr>
        <w:trPr>
          <w:cnfStyle w:firstRow="1"/>
        </w:trPr>
        <w:tc>
          <w:tcPr>
            <w:tcBorders>
              <w:bottom w:val="single"/>
            </w:tcBorders>
            <w:vAlign w:val="bottom"/>
          </w:tcPr>
          <w:p>
            <w:pPr>
              <w:pStyle w:val="Compact"/>
              <w:jc w:val="left"/>
            </w:pPr>
            <w:r>
              <w:t xml:space="preserve">Хвиля</w:t>
            </w:r>
          </w:p>
        </w:tc>
        <w:tc>
          <w:tcPr>
            <w:tcBorders>
              <w:bottom w:val="single"/>
            </w:tcBorders>
            <w:vAlign w:val="bottom"/>
          </w:tcPr>
          <w:p>
            <w:pPr>
              <w:pStyle w:val="Compact"/>
              <w:jc w:val="right"/>
            </w:pPr>
            <w:r>
              <w:t xml:space="preserve">Conservation</w:t>
            </w:r>
          </w:p>
        </w:tc>
        <w:tc>
          <w:tcPr>
            <w:tcBorders>
              <w:bottom w:val="single"/>
            </w:tcBorders>
            <w:vAlign w:val="bottom"/>
          </w:tcPr>
          <w:p>
            <w:pPr>
              <w:pStyle w:val="Compact"/>
              <w:jc w:val="right"/>
            </w:pPr>
            <w:r>
              <w:t xml:space="preserve">Openness to Change</w:t>
            </w:r>
          </w:p>
        </w:tc>
        <w:tc>
          <w:tcPr>
            <w:tcBorders>
              <w:bottom w:val="single"/>
            </w:tcBorders>
            <w:vAlign w:val="bottom"/>
          </w:tcPr>
          <w:p>
            <w:pPr>
              <w:pStyle w:val="Compact"/>
              <w:jc w:val="right"/>
            </w:pPr>
            <w:r>
              <w:t xml:space="preserve">Self-Enhancement</w:t>
            </w:r>
          </w:p>
        </w:tc>
        <w:tc>
          <w:tcPr>
            <w:tcBorders>
              <w:bottom w:val="single"/>
            </w:tcBorders>
            <w:vAlign w:val="bottom"/>
          </w:tcPr>
          <w:p>
            <w:pPr>
              <w:pStyle w:val="Compact"/>
              <w:jc w:val="right"/>
            </w:pPr>
            <w:r>
              <w:t xml:space="preserve">Self-Trancendence</w:t>
            </w:r>
          </w:p>
        </w:tc>
      </w:tr>
      <w:tr>
        <w:tc>
          <w:p>
            <w:pPr>
              <w:pStyle w:val="Compact"/>
              <w:jc w:val="left"/>
            </w:pPr>
            <w:r>
              <w:t xml:space="preserve">1</w:t>
            </w:r>
          </w:p>
        </w:tc>
        <w:tc>
          <w:p>
            <w:pPr>
              <w:pStyle w:val="Compact"/>
              <w:jc w:val="right"/>
            </w:pPr>
            <w:r>
              <w:t xml:space="preserve">0.5491355</w:t>
            </w:r>
          </w:p>
        </w:tc>
        <w:tc>
          <w:p>
            <w:pPr>
              <w:pStyle w:val="Compact"/>
              <w:jc w:val="right"/>
            </w:pPr>
            <w:r>
              <w:t xml:space="preserve">0.6792340</w:t>
            </w:r>
          </w:p>
        </w:tc>
        <w:tc>
          <w:p>
            <w:pPr>
              <w:pStyle w:val="Compact"/>
              <w:jc w:val="right"/>
            </w:pPr>
            <w:r>
              <w:t xml:space="preserve">0.5411738</w:t>
            </w:r>
          </w:p>
        </w:tc>
        <w:tc>
          <w:p>
            <w:pPr>
              <w:pStyle w:val="Compact"/>
              <w:jc w:val="right"/>
            </w:pPr>
            <w:r>
              <w:t xml:space="preserve">0.5624940</w:t>
            </w:r>
          </w:p>
        </w:tc>
      </w:tr>
      <w:tr>
        <w:tc>
          <w:p>
            <w:pPr>
              <w:pStyle w:val="Compact"/>
              <w:jc w:val="left"/>
            </w:pPr>
            <w:r>
              <w:t xml:space="preserve">2</w:t>
            </w:r>
          </w:p>
        </w:tc>
        <w:tc>
          <w:p>
            <w:pPr>
              <w:pStyle w:val="Compact"/>
              <w:jc w:val="right"/>
            </w:pPr>
            <w:r>
              <w:t xml:space="preserve">0.4616821</w:t>
            </w:r>
          </w:p>
        </w:tc>
        <w:tc>
          <w:p>
            <w:pPr>
              <w:pStyle w:val="Compact"/>
              <w:jc w:val="right"/>
            </w:pPr>
            <w:r>
              <w:t xml:space="preserve">0.7050829</w:t>
            </w:r>
          </w:p>
        </w:tc>
        <w:tc>
          <w:p>
            <w:pPr>
              <w:pStyle w:val="Compact"/>
              <w:jc w:val="right"/>
            </w:pPr>
            <w:r>
              <w:t xml:space="preserve">0.6788897</w:t>
            </w:r>
          </w:p>
        </w:tc>
        <w:tc>
          <w:p>
            <w:pPr>
              <w:pStyle w:val="Compact"/>
              <w:jc w:val="right"/>
            </w:pPr>
            <w:r>
              <w:t xml:space="preserve">0.6199723</w:t>
            </w:r>
          </w:p>
        </w:tc>
      </w:tr>
      <w:tr>
        <w:tc>
          <w:p>
            <w:pPr>
              <w:pStyle w:val="Compact"/>
              <w:jc w:val="left"/>
            </w:pPr>
            <w:r>
              <w:t xml:space="preserve">3</w:t>
            </w:r>
          </w:p>
        </w:tc>
        <w:tc>
          <w:p>
            <w:pPr>
              <w:pStyle w:val="Compact"/>
              <w:jc w:val="right"/>
            </w:pPr>
            <w:r>
              <w:t xml:space="preserve">0.5445831</w:t>
            </w:r>
          </w:p>
        </w:tc>
        <w:tc>
          <w:p>
            <w:pPr>
              <w:pStyle w:val="Compact"/>
              <w:jc w:val="right"/>
            </w:pPr>
            <w:r>
              <w:t xml:space="preserve">0.4796316</w:t>
            </w:r>
          </w:p>
        </w:tc>
        <w:tc>
          <w:p>
            <w:pPr>
              <w:pStyle w:val="Compact"/>
              <w:jc w:val="right"/>
            </w:pPr>
            <w:r>
              <w:t xml:space="preserve">0.6576040</w:t>
            </w:r>
          </w:p>
        </w:tc>
        <w:tc>
          <w:p>
            <w:pPr>
              <w:pStyle w:val="Compact"/>
              <w:jc w:val="right"/>
            </w:pPr>
            <w:r>
              <w:t xml:space="preserve">0.5527217</w:t>
            </w:r>
          </w:p>
        </w:tc>
      </w:tr>
      <w:tr>
        <w:tc>
          <w:p>
            <w:pPr>
              <w:pStyle w:val="Compact"/>
              <w:jc w:val="left"/>
            </w:pPr>
            <w:r>
              <w:t xml:space="preserve">4</w:t>
            </w:r>
          </w:p>
        </w:tc>
        <w:tc>
          <w:p>
            <w:pPr>
              <w:pStyle w:val="Compact"/>
              <w:jc w:val="right"/>
            </w:pPr>
            <w:r>
              <w:t xml:space="preserve">0.4773656</w:t>
            </w:r>
          </w:p>
        </w:tc>
        <w:tc>
          <w:p>
            <w:pPr>
              <w:pStyle w:val="Compact"/>
              <w:jc w:val="right"/>
            </w:pPr>
            <w:r>
              <w:t xml:space="preserve">0.6834416</w:t>
            </w:r>
          </w:p>
        </w:tc>
        <w:tc>
          <w:p>
            <w:pPr>
              <w:pStyle w:val="Compact"/>
              <w:jc w:val="right"/>
            </w:pPr>
            <w:r>
              <w:t xml:space="preserve">0.6856279</w:t>
            </w:r>
          </w:p>
        </w:tc>
        <w:tc>
          <w:p>
            <w:pPr>
              <w:pStyle w:val="Compact"/>
              <w:jc w:val="right"/>
            </w:pPr>
            <w:r>
              <w:t xml:space="preserve">0.6624719</w:t>
            </w:r>
          </w:p>
        </w:tc>
      </w:tr>
      <w:tr>
        <w:tc>
          <w:p>
            <w:pPr>
              <w:pStyle w:val="Compact"/>
              <w:jc w:val="left"/>
            </w:pPr>
            <w:r>
              <w:t xml:space="preserve">5</w:t>
            </w:r>
          </w:p>
        </w:tc>
        <w:tc>
          <w:p>
            <w:pPr>
              <w:pStyle w:val="Compact"/>
              <w:jc w:val="right"/>
            </w:pPr>
            <w:r>
              <w:t xml:space="preserve">0.5783044</w:t>
            </w:r>
          </w:p>
        </w:tc>
        <w:tc>
          <w:p>
            <w:pPr>
              <w:pStyle w:val="Compact"/>
              <w:jc w:val="right"/>
            </w:pPr>
            <w:r>
              <w:t xml:space="preserve">0.6331366</w:t>
            </w:r>
          </w:p>
        </w:tc>
        <w:tc>
          <w:p>
            <w:pPr>
              <w:pStyle w:val="Compact"/>
              <w:jc w:val="right"/>
            </w:pPr>
            <w:r>
              <w:t xml:space="preserve">0.6772061</w:t>
            </w:r>
          </w:p>
        </w:tc>
        <w:tc>
          <w:p>
            <w:pPr>
              <w:pStyle w:val="Compact"/>
              <w:jc w:val="right"/>
            </w:pPr>
            <w:r>
              <w:t xml:space="preserve">0.5126837</w:t>
            </w:r>
          </w:p>
        </w:tc>
      </w:tr>
      <w:tr>
        <w:tc>
          <w:p>
            <w:pPr>
              <w:pStyle w:val="Compact"/>
              <w:jc w:val="left"/>
            </w:pPr>
            <w:r>
              <w:t xml:space="preserve">6</w:t>
            </w:r>
          </w:p>
        </w:tc>
        <w:tc>
          <w:p>
            <w:pPr>
              <w:pStyle w:val="Compact"/>
              <w:jc w:val="right"/>
            </w:pPr>
            <w:r>
              <w:t xml:space="preserve">0.7684547</w:t>
            </w:r>
          </w:p>
        </w:tc>
        <w:tc>
          <w:p>
            <w:pPr>
              <w:pStyle w:val="Compact"/>
              <w:jc w:val="right"/>
            </w:pPr>
            <w:r>
              <w:t xml:space="preserve">0.8713591</w:t>
            </w:r>
          </w:p>
        </w:tc>
        <w:tc>
          <w:p>
            <w:pPr>
              <w:pStyle w:val="Compact"/>
              <w:jc w:val="right"/>
            </w:pPr>
            <w:r>
              <w:t xml:space="preserve">0.6371681</w:t>
            </w:r>
          </w:p>
        </w:tc>
        <w:tc>
          <w:p>
            <w:pPr>
              <w:pStyle w:val="Compact"/>
              <w:jc w:val="right"/>
            </w:pPr>
            <w:r>
              <w:t xml:space="preserve">0.5911086</w:t>
            </w:r>
          </w:p>
        </w:tc>
      </w:tr>
      <w:tr>
        <w:tc>
          <w:p>
            <w:pPr>
              <w:pStyle w:val="Compact"/>
              <w:jc w:val="left"/>
            </w:pPr>
            <w:r>
              <w:t xml:space="preserve">7</w:t>
            </w:r>
          </w:p>
        </w:tc>
        <w:tc>
          <w:p>
            <w:pPr>
              <w:pStyle w:val="Compact"/>
              <w:jc w:val="right"/>
            </w:pPr>
            <w:r>
              <w:t xml:space="preserve">0.6119905</w:t>
            </w:r>
          </w:p>
        </w:tc>
        <w:tc>
          <w:p>
            <w:pPr>
              <w:pStyle w:val="Compact"/>
              <w:jc w:val="right"/>
            </w:pPr>
            <w:r>
              <w:t xml:space="preserve">0.7159203</w:t>
            </w:r>
          </w:p>
        </w:tc>
        <w:tc>
          <w:p>
            <w:pPr>
              <w:pStyle w:val="Compact"/>
              <w:jc w:val="right"/>
            </w:pPr>
            <w:r>
              <w:t xml:space="preserve">0.7415738</w:t>
            </w:r>
          </w:p>
        </w:tc>
        <w:tc>
          <w:p>
            <w:pPr>
              <w:pStyle w:val="Compact"/>
              <w:jc w:val="right"/>
            </w:pPr>
            <w:r>
              <w:t xml:space="preserve">0.6411937</w:t>
            </w:r>
          </w:p>
        </w:tc>
      </w:tr>
      <w:tr>
        <w:tc>
          <w:p>
            <w:pPr>
              <w:pStyle w:val="Compact"/>
              <w:jc w:val="left"/>
            </w:pPr>
            <w:r>
              <w:t xml:space="preserve">8</w:t>
            </w:r>
          </w:p>
        </w:tc>
        <w:tc>
          <w:p>
            <w:pPr>
              <w:pStyle w:val="Compact"/>
              <w:jc w:val="right"/>
            </w:pPr>
            <w:r>
              <w:t xml:space="preserve">0.6900668</w:t>
            </w:r>
          </w:p>
        </w:tc>
        <w:tc>
          <w:p>
            <w:pPr>
              <w:pStyle w:val="Compact"/>
              <w:jc w:val="right"/>
            </w:pPr>
            <w:r>
              <w:t xml:space="preserve">0.8019719</w:t>
            </w:r>
          </w:p>
        </w:tc>
        <w:tc>
          <w:p>
            <w:pPr>
              <w:pStyle w:val="Compact"/>
              <w:jc w:val="right"/>
            </w:pPr>
            <w:r>
              <w:t xml:space="preserve">0.6574351</w:t>
            </w:r>
          </w:p>
        </w:tc>
        <w:tc>
          <w:p>
            <w:pPr>
              <w:pStyle w:val="Compact"/>
              <w:jc w:val="right"/>
            </w:pPr>
            <w:r>
              <w:t xml:space="preserve">0.6365458</w:t>
            </w:r>
          </w:p>
        </w:tc>
      </w:tr>
    </w:tbl>
    <w:p>
      <w:pPr>
        <w:pStyle w:val="BodyText"/>
      </w:pPr>
      <w:r>
        <w:t xml:space="preserve">Також на основі даних було проведено кластерний аналіз регіонів за цінностями.</w:t>
      </w:r>
    </w:p>
    <w:p>
      <w:pPr>
        <w:pStyle w:val="CaptionedFigure"/>
      </w:pPr>
      <w:r>
        <w:drawing>
          <wp:inline>
            <wp:extent cx="5930900" cy="4744720"/>
            <wp:effectExtent b="0" l="0" r="0" t="0"/>
            <wp:docPr descr="Таблиця 4. Динаміка автокореляції цінностей в країнах-постійних учасниках ЄСС" title="" id="1" name="Picture"/>
            <a:graphic>
              <a:graphicData uri="http://schemas.openxmlformats.org/drawingml/2006/picture">
                <pic:pic>
                  <pic:nvPicPr>
                    <pic:cNvPr descr="masters_thesis_files/figure-docx/unnamed-chunk-5-1.png" id="0" name="Picture"/>
                    <pic:cNvPicPr>
                      <a:picLocks noChangeArrowheads="1" noChangeAspect="1"/>
                    </pic:cNvPicPr>
                  </pic:nvPicPr>
                  <pic:blipFill>
                    <a:blip r:embed="rId41"/>
                    <a:stretch>
                      <a:fillRect/>
                    </a:stretch>
                  </pic:blipFill>
                  <pic:spPr bwMode="auto">
                    <a:xfrm>
                      <a:off x="0" y="0"/>
                      <a:ext cx="5930900" cy="4744720"/>
                    </a:xfrm>
                    <a:prstGeom prst="rect">
                      <a:avLst/>
                    </a:prstGeom>
                    <a:noFill/>
                    <a:ln w="9525">
                      <a:noFill/>
                      <a:headEnd/>
                      <a:tailEnd/>
                    </a:ln>
                  </pic:spPr>
                </pic:pic>
              </a:graphicData>
            </a:graphic>
          </wp:inline>
        </w:drawing>
      </w:r>
    </w:p>
    <w:p>
      <w:pPr>
        <w:pStyle w:val="ImageCaption"/>
      </w:pPr>
      <w:r>
        <w:rPr>
          <w:b/>
        </w:rPr>
        <w:t xml:space="preserve">Таблиця 4. Динаміка автокореляції цінностей в країнах-постійних учасниках ЄСС</w:t>
      </w:r>
    </w:p>
    <w:p>
      <w:pPr>
        <w:pStyle w:val="BodyText"/>
      </w:pPr>
      <w:r>
        <w:drawing>
          <wp:inline>
            <wp:extent cx="5930900" cy="4744720"/>
            <wp:effectExtent b="0" l="0" r="0" t="0"/>
            <wp:docPr descr="" title="" id="1" name="Picture"/>
            <a:graphic>
              <a:graphicData uri="http://schemas.openxmlformats.org/drawingml/2006/picture">
                <pic:pic>
                  <pic:nvPicPr>
                    <pic:cNvPr descr="masters_thesis_files/figure-docx/unnamed-chunk-6-1.png" id="0" name="Picture"/>
                    <pic:cNvPicPr>
                      <a:picLocks noChangeArrowheads="1" noChangeAspect="1"/>
                    </pic:cNvPicPr>
                  </pic:nvPicPr>
                  <pic:blipFill>
                    <a:blip r:embed="rId42"/>
                    <a:stretch>
                      <a:fillRect/>
                    </a:stretch>
                  </pic:blipFill>
                  <pic:spPr bwMode="auto">
                    <a:xfrm>
                      <a:off x="0" y="0"/>
                      <a:ext cx="5930900" cy="4744720"/>
                    </a:xfrm>
                    <a:prstGeom prst="rect">
                      <a:avLst/>
                    </a:prstGeom>
                    <a:noFill/>
                    <a:ln w="9525">
                      <a:noFill/>
                      <a:headEnd/>
                      <a:tailEnd/>
                    </a:ln>
                  </pic:spPr>
                </pic:pic>
              </a:graphicData>
            </a:graphic>
          </wp:inline>
        </w:drawing>
      </w:r>
    </w:p>
    <w:p>
      <w:pPr>
        <w:pStyle w:val="Heading2"/>
      </w:pPr>
      <w:bookmarkStart w:id="43" w:name="---"/>
      <w:r>
        <w:t xml:space="preserve">Висновок до розділу ІІ</w:t>
      </w:r>
      <w:bookmarkEnd w:id="43"/>
    </w:p>
    <w:p>
      <w:pPr>
        <w:pStyle w:val="FirstParagraph"/>
      </w:pPr>
      <w:r>
        <w:t xml:space="preserve">Таким чином, ми можемо стверджувати про наявність тенденції до формування загальноєвропейського ціннісного простору. Ця тенденція проявилася через збільшення автокореляції цінностей країн Європи протягом хвиль ЄСС. На прикладі країн-постійних учасниць дослідження також видно, що цей ріст не є наслідком участі чи не участі певних держав у дослідженні. Також про наявність тенденції свідчить більший показник автокореляції цінностей у молоді та людей середнього віку. Національні ціннісні кордони більш помітні, якщо брати до уваги тільки людей старшого віку (60+). Національні кордони все ще мають велике значення, однак у Західній Європі уже досить складно провести чіткі внутрішні ціннісні кордони. Також можна стверджувати, що так звана</w:t>
      </w:r>
      <w:r>
        <w:t xml:space="preserve"> </w:t>
      </w:r>
      <w:r>
        <w:t xml:space="preserve">“</w:t>
      </w:r>
      <w:r>
        <w:t xml:space="preserve">залізна завіса</w:t>
      </w:r>
      <w:r>
        <w:t xml:space="preserve">”</w:t>
      </w:r>
      <w:r>
        <w:t xml:space="preserve"> </w:t>
      </w:r>
      <w:r>
        <w:t xml:space="preserve">слабко пояснює ціннісні відмінності. Так, якщо між Польщею та Німеччиною є помітні відмінності, то ось такі країни як Естонія, Угорщина, Словенія ціннісно більш схожі до країн Західної Європи, навіть більш схожі, ніж</w:t>
      </w:r>
      <w:r>
        <w:t xml:space="preserve"> </w:t>
      </w:r>
      <w:r>
        <w:t xml:space="preserve">“</w:t>
      </w:r>
      <w:r>
        <w:t xml:space="preserve">старожили</w:t>
      </w:r>
      <w:r>
        <w:t xml:space="preserve">”</w:t>
      </w:r>
      <w:r>
        <w:t xml:space="preserve"> </w:t>
      </w:r>
      <w:r>
        <w:t xml:space="preserve">Європейського Союзу Іспанія та Італія, які серед них найбільше вирізняються.</w:t>
      </w:r>
    </w:p>
    <w:p>
      <w:pPr>
        <w:pStyle w:val="BodyText"/>
      </w:pPr>
      <w:r>
        <w:t xml:space="preserve">З проведеного дослідження ми не можемо стверджувати про те, що єдиний європейський ціннісний простір буде сформовано у найближчому майбутньому, оскільки не можна виключати поширення відцентрових тенденцій, які уже помітні на політичному та економічному рівні (Брексит, уряди євроскептиків в Італії та Угорщині), однак на даний момент ми зафіксували чіткі ознаки наявності процесу формування такого простору.</w:t>
      </w:r>
    </w:p>
    <w:p>
      <w:pPr>
        <w:pStyle w:val="BodyText"/>
      </w:pPr>
      <w:r>
        <w:t xml:space="preserve">Також зауважимо, що обраний метод дослідження (коефіцієнт автокореляції Морана) мав деякі обмеження, через які ми можемо робити тільки генералізовані висновки. Значення індексу Морана могло також сильно коливатися від географічних особливостей регіонів, у яких проводилося ЄСС, та розмірів вибірок, які там робилися (маленький за роззміром регіон має зазвичай маленький розмір вибірки).При цьому неучасть однієї з країн у хвилі могла зробити дуже сильний перекіс для індексу, так само, як і зміна переліку регіонів, що беруть участь у дослідженні.</w:t>
      </w:r>
    </w:p>
    <w:p>
      <w:pPr>
        <w:pStyle w:val="Heading1"/>
      </w:pPr>
      <w:bookmarkStart w:id="44" w:name="-.------"/>
      <w:r>
        <w:t xml:space="preserve">РОЗДІЛ ІІІ. Економічні закономірності розподілу цінностей в Європі</w:t>
      </w:r>
      <w:bookmarkEnd w:id="44"/>
    </w:p>
    <w:p>
      <w:pPr>
        <w:pStyle w:val="Heading2"/>
      </w:pPr>
      <w:bookmarkStart w:id="45" w:name="--"/>
      <w:r>
        <w:t xml:space="preserve">Економіка та цінності</w:t>
      </w:r>
      <w:bookmarkEnd w:id="45"/>
    </w:p>
    <w:p>
      <w:pPr>
        <w:pStyle w:val="FirstParagraph"/>
      </w:pPr>
      <w:r>
        <w:t xml:space="preserve">Якщо питання впливу сім’ї, оточеня досить добре досліджені в плані їх впливу на цінності людини, то роль макроекономічних чинників - менше. Тут зробимо уточнення: під макроекономічними чинниками ми розуміємо динаміку і стан економічного розвитку всього суспільства, а не особистості чи окремої сім’ї. У цій аналітичній роботі ми перевіримо гіпотези, присвячені впливу пережитого макроекономічного досвіду на цінності індивіда. Тобто з одного боку ми проаналізуємо те, як впливає економічний розвиток суспільства на цінності індивідів, з іншого боку - персональний досвід індивіда, оскільки при аналізі враховуватиметься період життя кожного опитаного респондента.</w:t>
      </w:r>
    </w:p>
    <w:p>
      <w:pPr>
        <w:pStyle w:val="BodyText"/>
      </w:pPr>
      <w:r>
        <w:t xml:space="preserve">Додатково ми перевіримо, в які періоди життя цінності індивіда найбільше піддаються зовнішньому впливу. На думку більшості дослідників, зокрема, Інглехарта - це період студентських років 18-25</w:t>
      </w:r>
      <w:r>
        <w:t xml:space="preserve"> </w:t>
      </w:r>
      <w:r>
        <w:t xml:space="preserve">[А., 2013]</w:t>
      </w:r>
      <w:r>
        <w:t xml:space="preserve">, однак ми підозрюємо, що в різних суспільств цей час може різнитися.</w:t>
      </w:r>
    </w:p>
    <w:p>
      <w:pPr>
        <w:pStyle w:val="BodyText"/>
      </w:pPr>
      <w:r>
        <w:t xml:space="preserve">В основі нашої аналітичної роботи лежать наступні гіпотези.</w:t>
      </w:r>
    </w:p>
    <w:p>
      <w:pPr>
        <w:pStyle w:val="BodyText"/>
      </w:pPr>
      <w:r>
        <w:rPr>
          <w:b/>
        </w:rPr>
        <w:t xml:space="preserve">Гіпотеза-підстава 1:</w:t>
      </w:r>
      <w:r>
        <w:t xml:space="preserve"> </w:t>
      </w:r>
      <w:r>
        <w:t xml:space="preserve">існує зв’язок між роками економічного зростання, що припадають на життя індивіда та його цінностями.</w:t>
      </w:r>
    </w:p>
    <w:p>
      <w:pPr>
        <w:pStyle w:val="BodyText"/>
      </w:pPr>
      <w:r>
        <w:rPr>
          <w:b/>
        </w:rPr>
        <w:t xml:space="preserve">Гіпотеза-наслідок 1.1:</w:t>
      </w:r>
      <w:r>
        <w:t xml:space="preserve"> </w:t>
      </w:r>
      <w:r>
        <w:t xml:space="preserve">чим більше на життя індивіда припало років економічного спаду, тим він консервативніше у своїх поглядах.</w:t>
      </w:r>
    </w:p>
    <w:p>
      <w:pPr>
        <w:pStyle w:val="BodyText"/>
      </w:pPr>
      <w:r>
        <w:rPr>
          <w:b/>
        </w:rPr>
        <w:t xml:space="preserve">Гіпотеза-наслідок 1.2:</w:t>
      </w:r>
      <w:r>
        <w:t xml:space="preserve"> </w:t>
      </w:r>
      <w:r>
        <w:t xml:space="preserve">чим більше на життя індивіда припало років економічного спаду, тим більше він орієнтований на самовдосконалення.</w:t>
      </w:r>
    </w:p>
    <w:p>
      <w:pPr>
        <w:pStyle w:val="BodyText"/>
      </w:pPr>
      <w:r>
        <w:rPr>
          <w:b/>
        </w:rPr>
        <w:t xml:space="preserve">Гіпотеза-підстава 2:</w:t>
      </w:r>
      <w:r>
        <w:t xml:space="preserve"> </w:t>
      </w:r>
      <w:r>
        <w:t xml:space="preserve">вирішальними для цінностей індивіда є роки його юності.</w:t>
      </w:r>
    </w:p>
    <w:p>
      <w:pPr>
        <w:pStyle w:val="BodyText"/>
      </w:pPr>
      <w:r>
        <w:rPr>
          <w:b/>
        </w:rPr>
        <w:t xml:space="preserve">Гіпотеза-наслідок 2.1:</w:t>
      </w:r>
      <w:r>
        <w:t xml:space="preserve"> </w:t>
      </w:r>
      <w:r>
        <w:t xml:space="preserve">найбільший зв’язок між цінностями та економічним ростом країни респондента у період 14-18 років.</w:t>
      </w:r>
    </w:p>
    <w:p>
      <w:pPr>
        <w:pStyle w:val="BodyText"/>
      </w:pPr>
      <w:r>
        <w:rPr>
          <w:b/>
        </w:rPr>
        <w:t xml:space="preserve">Гіпотеза-наслідок 2.2:</w:t>
      </w:r>
      <w:r>
        <w:t xml:space="preserve"> </w:t>
      </w:r>
      <w:r>
        <w:t xml:space="preserve">після 40 років економічний добробут країни проживання індивіда та його цінності не мають зв’язку.</w:t>
      </w:r>
    </w:p>
    <w:p>
      <w:pPr>
        <w:pStyle w:val="BodyText"/>
      </w:pPr>
      <w:r>
        <w:rPr>
          <w:b/>
        </w:rPr>
        <w:t xml:space="preserve">Технічні особливості роботи:</w:t>
      </w:r>
      <w:r>
        <w:t xml:space="preserve"> </w:t>
      </w:r>
      <w:r>
        <w:t xml:space="preserve">усі розрахунки виконано в середовищі R, версії 3.4.3 (2017-11-30). Інші технічні деталі див. Додаток 1.</w:t>
      </w:r>
    </w:p>
    <w:p>
      <w:pPr>
        <w:pStyle w:val="Heading3"/>
      </w:pPr>
      <w:bookmarkStart w:id="46" w:name="--"/>
      <w:r>
        <w:t xml:space="preserve">Дані аналітичної роботи</w:t>
      </w:r>
      <w:bookmarkEnd w:id="46"/>
    </w:p>
    <w:p>
      <w:pPr>
        <w:pStyle w:val="Heading3"/>
      </w:pPr>
      <w:bookmarkStart w:id="47" w:name="-"/>
      <w:r>
        <w:t xml:space="preserve">Масиви даних</w:t>
      </w:r>
      <w:bookmarkEnd w:id="47"/>
    </w:p>
    <w:p>
      <w:pPr>
        <w:pStyle w:val="FirstParagraph"/>
      </w:pPr>
      <w:r>
        <w:t xml:space="preserve">Для перевірки гіпотези ми обрали дані усіх нині наявних на сайті ЄСС масивів 8-ми хвиль дослідження та масиву з історичними розрахунками ВВП за паритетом купівельної спроможності для різних країн</w:t>
      </w:r>
      <w:r>
        <w:t xml:space="preserve"> </w:t>
      </w:r>
      <w:r>
        <w:t xml:space="preserve">[Bolt and Zanden, 2018]</w:t>
      </w:r>
      <w:r>
        <w:t xml:space="preserve">.</w:t>
      </w:r>
    </w:p>
    <w:p>
      <w:pPr>
        <w:pStyle w:val="BodyText"/>
      </w:pPr>
      <w:r>
        <w:t xml:space="preserve">Варто зауважити, що для дослідження динаміки економічного розвитку країн Європи ми мали декілька альтернативних масивів даних, однак обрали масив Maddison Historical Statistics Project, що збирає та розміщує Groningen Growth and Development Centre at the University of Groningen. Вибір цього масиву зумовлений наступними причинами:</w:t>
      </w:r>
    </w:p>
    <w:p>
      <w:pPr>
        <w:pStyle w:val="Compact"/>
        <w:numPr>
          <w:numId w:val="1018"/>
          <w:ilvl w:val="0"/>
        </w:numPr>
      </w:pPr>
      <w:r>
        <w:t xml:space="preserve">повнотою даних: для більшості країн є розрахунки ВВП починаючи з 1900 року, що хоплює тривалість життя всіх респондентів (наприклад, дані Світового банку охоплюють лише період з 1960 року і до сьогодні);</w:t>
      </w:r>
    </w:p>
    <w:p>
      <w:pPr>
        <w:pStyle w:val="Compact"/>
        <w:numPr>
          <w:numId w:val="1018"/>
          <w:ilvl w:val="0"/>
        </w:numPr>
      </w:pPr>
      <w:r>
        <w:t xml:space="preserve">розрахунком за паритетом купівельної спроможності: такий розрахунок більш чітко відтворює те, наскільки економічні зміни відчуло населення країн.</w:t>
      </w:r>
    </w:p>
    <w:p>
      <w:pPr>
        <w:pStyle w:val="FirstParagraph"/>
      </w:pPr>
      <w:r>
        <w:t xml:space="preserve">Робота з усіма масивами ЄСС зумовлена тим, що нас не цікавлять окремі держави чи роки проведення дослідження. Мета нашої аналітичної роботи встановити, чи взагалі економічний добробут впливає на цінності людини.</w:t>
      </w:r>
    </w:p>
    <w:p>
      <w:pPr>
        <w:pStyle w:val="Heading3"/>
      </w:pPr>
      <w:bookmarkStart w:id="48" w:name="-"/>
      <w:r>
        <w:t xml:space="preserve">Фільтрація даних</w:t>
      </w:r>
      <w:bookmarkEnd w:id="48"/>
    </w:p>
    <w:p>
      <w:pPr>
        <w:pStyle w:val="FirstParagraph"/>
      </w:pPr>
      <w:r>
        <w:t xml:space="preserve">При цьому ми відсіяли окремі країни із загального масиву даних за двома критеріями: наявності повних історичних даних про ВВП та розміром країни. Якщо відсутність даних про ВВП банально унеможливлювало перевірку поставлених гіпотез, то менші країни ми відсіяли через потенційно великий вплив глобальних економічних трендів на них та потенціно високу частку мігрантів серед них (наприклад, нам важко робити висновки щодо Ізраїлю, коли велика частина населення (за даними ЄСС - 33%) пережила частково досвід економіки інших країн). Таким чином, у фінальному масиві ми залишили тільки респондентів з Австрії, Бельгії, Швейцарії, Чехії, Німеччини, Данії, Іспанії, Фінляндії, Франції, Великобританії, Греції, Угорщини, Ірландії, Італії, Нідерландів, Норвегії, Польщі, Португалії, Швеції, Словенії, Естонії, Ісландії, Словаччини, Туреччини, України, Болгарії, Росії, Хорватії, Латвії, Румунії, Литви та Албанії (змінна</w:t>
      </w:r>
      <w:r>
        <w:t xml:space="preserve"> </w:t>
      </w:r>
      <w:r>
        <w:rPr>
          <w:i/>
        </w:rPr>
        <w:t xml:space="preserve">cntry</w:t>
      </w:r>
      <w:r>
        <w:t xml:space="preserve">).</w:t>
      </w:r>
    </w:p>
    <w:p>
      <w:pPr>
        <w:pStyle w:val="BodyText"/>
      </w:pPr>
      <w:r>
        <w:t xml:space="preserve">При цьому для чистоти аналізу цей масив було також відфільтровано на основі змінної</w:t>
      </w:r>
      <w:r>
        <w:t xml:space="preserve"> </w:t>
      </w:r>
      <w:r>
        <w:rPr>
          <w:i/>
        </w:rPr>
        <w:t xml:space="preserve">brncntr</w:t>
      </w:r>
      <w:r>
        <w:t xml:space="preserve">, що фіксує факт народження респондента у тій же країні, де його і опитали. Частка таких осіб у різних країнах коливається: від 99,4% в Румунії до 78,3% в Швейцарії.</w:t>
      </w:r>
    </w:p>
    <w:p>
      <w:pPr>
        <w:pStyle w:val="BodyText"/>
      </w:pPr>
      <w:r>
        <w:t xml:space="preserve">Подальша фільтрація масиву вже відбувалася на підставі відсутності відповідей на питання, за допомогою яких ми перевіряли гіпотези. Після операцій фільтрування у нас в масиві залишилось загалом 287 836 спостережень за 8 хвиль дослідження у 32 країнах Європи.</w:t>
      </w:r>
    </w:p>
    <w:p>
      <w:pPr>
        <w:pStyle w:val="Heading3"/>
      </w:pPr>
      <w:bookmarkStart w:id="49" w:name="--"/>
      <w:r>
        <w:t xml:space="preserve">Створення додаткових змінних</w:t>
      </w:r>
      <w:bookmarkEnd w:id="49"/>
    </w:p>
    <w:p>
      <w:pPr>
        <w:pStyle w:val="FirstParagraph"/>
      </w:pPr>
      <w:r>
        <w:t xml:space="preserve">Після фільтрації наступним етапом роботи було створення нових змінних для перевірки гіпотез. У першу чергу було підготовано узагальнені показники цінностей.</w:t>
      </w:r>
    </w:p>
    <w:p>
      <w:pPr>
        <w:pStyle w:val="BodyText"/>
      </w:pPr>
      <w:r>
        <w:t xml:space="preserve">В ЄСС для характеристики персональних цінностей використовується шкала Шварца.</w:t>
      </w:r>
      <w:r>
        <w:t xml:space="preserve"> </w:t>
      </w:r>
      <w:r>
        <w:t xml:space="preserve">Вона в своєму класичному вигляді включає в себе 10 компонентів</w:t>
      </w:r>
      <w:r>
        <w:t xml:space="preserve"> </w:t>
      </w:r>
      <w:r>
        <w:t xml:space="preserve">[Computing scores for the 10 human values, n.d.]</w:t>
      </w:r>
      <w:r>
        <w:t xml:space="preserve">:</w:t>
      </w:r>
    </w:p>
    <w:p>
      <w:pPr>
        <w:pStyle w:val="Compact"/>
        <w:numPr>
          <w:numId w:val="1019"/>
          <w:ilvl w:val="0"/>
        </w:numPr>
      </w:pPr>
      <w:r>
        <w:t xml:space="preserve">влада;</w:t>
      </w:r>
    </w:p>
    <w:p>
      <w:pPr>
        <w:pStyle w:val="Compact"/>
        <w:numPr>
          <w:numId w:val="1019"/>
          <w:ilvl w:val="0"/>
        </w:numPr>
      </w:pPr>
      <w:r>
        <w:t xml:space="preserve">досягнення;</w:t>
      </w:r>
    </w:p>
    <w:p>
      <w:pPr>
        <w:pStyle w:val="Compact"/>
        <w:numPr>
          <w:numId w:val="1019"/>
          <w:ilvl w:val="0"/>
        </w:numPr>
      </w:pPr>
      <w:r>
        <w:t xml:space="preserve">гедонізм;</w:t>
      </w:r>
    </w:p>
    <w:p>
      <w:pPr>
        <w:pStyle w:val="Compact"/>
        <w:numPr>
          <w:numId w:val="1019"/>
          <w:ilvl w:val="0"/>
        </w:numPr>
      </w:pPr>
      <w:r>
        <w:t xml:space="preserve">стимулювання;</w:t>
      </w:r>
    </w:p>
    <w:p>
      <w:pPr>
        <w:pStyle w:val="Compact"/>
        <w:numPr>
          <w:numId w:val="1019"/>
          <w:ilvl w:val="0"/>
        </w:numPr>
      </w:pPr>
      <w:r>
        <w:t xml:space="preserve">самостійність;</w:t>
      </w:r>
    </w:p>
    <w:p>
      <w:pPr>
        <w:pStyle w:val="Compact"/>
        <w:numPr>
          <w:numId w:val="1019"/>
          <w:ilvl w:val="0"/>
        </w:numPr>
      </w:pPr>
      <w:r>
        <w:t xml:space="preserve">універсалізм;</w:t>
      </w:r>
    </w:p>
    <w:p>
      <w:pPr>
        <w:pStyle w:val="Compact"/>
        <w:numPr>
          <w:numId w:val="1019"/>
          <w:ilvl w:val="0"/>
        </w:numPr>
      </w:pPr>
      <w:r>
        <w:t xml:space="preserve">доброзичливість;</w:t>
      </w:r>
    </w:p>
    <w:p>
      <w:pPr>
        <w:pStyle w:val="Compact"/>
        <w:numPr>
          <w:numId w:val="1019"/>
          <w:ilvl w:val="0"/>
        </w:numPr>
      </w:pPr>
      <w:r>
        <w:t xml:space="preserve">конформність;</w:t>
      </w:r>
    </w:p>
    <w:p>
      <w:pPr>
        <w:pStyle w:val="Compact"/>
        <w:numPr>
          <w:numId w:val="1019"/>
          <w:ilvl w:val="0"/>
        </w:numPr>
      </w:pPr>
      <w:r>
        <w:t xml:space="preserve">традиція;</w:t>
      </w:r>
    </w:p>
    <w:p>
      <w:pPr>
        <w:pStyle w:val="Compact"/>
        <w:numPr>
          <w:numId w:val="1019"/>
          <w:ilvl w:val="0"/>
        </w:numPr>
      </w:pPr>
      <w:r>
        <w:t xml:space="preserve">безпека.</w:t>
      </w:r>
    </w:p>
    <w:p>
      <w:pPr>
        <w:pStyle w:val="FirstParagraph"/>
      </w:pPr>
      <w:r>
        <w:t xml:space="preserve">У ЄСС ці цінності відображені в 23-х змінних. Існує окрема інструкція по узагальненню цих цінностей до 10. Її суть полягає в тому, що рахується по кожному респонденту середнє значення змінних, що відповідають певній цінності і віднімається середнє значення відповідей на всі питання, що відповідають усім цінностям. Це нормально, адже шкала в певній мірі дуальна, тобто одній цінності ми можемо протиставити іншу. І таким чином ми уникаємо ситуації, коли людина загалом відповідає, що всі характеристики на неї схожі, і через це виходить викривлення даних у дослідженні.</w:t>
      </w:r>
    </w:p>
    <w:p>
      <w:pPr>
        <w:pStyle w:val="BodyText"/>
      </w:pPr>
      <w:r>
        <w:t xml:space="preserve">Цю шкалу з 10 пунктів можна ще більше узагальнити до 4-х. Такий спосіб є науково обґрунтованим:</w:t>
      </w:r>
    </w:p>
    <w:p>
      <w:pPr>
        <w:pStyle w:val="Compact"/>
        <w:numPr>
          <w:numId w:val="1020"/>
          <w:ilvl w:val="0"/>
        </w:numPr>
      </w:pPr>
      <w:r>
        <w:t xml:space="preserve">Відкритість до змін (Openness to Change);</w:t>
      </w:r>
    </w:p>
    <w:p>
      <w:pPr>
        <w:pStyle w:val="Compact"/>
        <w:numPr>
          <w:numId w:val="1020"/>
          <w:ilvl w:val="0"/>
        </w:numPr>
      </w:pPr>
      <w:r>
        <w:t xml:space="preserve">Самоперевершення (Self-Trancendence);</w:t>
      </w:r>
    </w:p>
    <w:p>
      <w:pPr>
        <w:pStyle w:val="Compact"/>
        <w:numPr>
          <w:numId w:val="1020"/>
          <w:ilvl w:val="0"/>
        </w:numPr>
      </w:pPr>
      <w:r>
        <w:t xml:space="preserve">Збереження (Conservation);</w:t>
      </w:r>
    </w:p>
    <w:p>
      <w:pPr>
        <w:pStyle w:val="Compact"/>
        <w:numPr>
          <w:numId w:val="1020"/>
          <w:ilvl w:val="0"/>
        </w:numPr>
      </w:pPr>
      <w:r>
        <w:t xml:space="preserve">Самовдосконалення (Self-Enhancement)</w:t>
      </w:r>
      <w:r>
        <w:t xml:space="preserve"> </w:t>
      </w:r>
      <w:r>
        <w:t xml:space="preserve">[Schwartz, 2012]</w:t>
      </w:r>
      <w:r>
        <w:t xml:space="preserve">.</w:t>
      </w:r>
    </w:p>
    <w:p>
      <w:pPr>
        <w:pStyle w:val="FirstParagraph"/>
      </w:pPr>
      <w:r>
        <w:t xml:space="preserve">Таке узагальнення є прийнятним для нашої аналітичної роботи, оскільки її головна мета показати саме наявність зв’язку, а не його суть. Тим паче ми не ставимо за мету характеризувати цінності європейців, а лише говорити про те, чи пов’язані вони з досвідом економічного росту.</w:t>
      </w:r>
    </w:p>
    <w:p>
      <w:pPr>
        <w:pStyle w:val="BodyText"/>
      </w:pPr>
      <w:r>
        <w:t xml:space="preserve">Для розрахунку узагальнення цінностей нами було створено окрему функцію:</w:t>
      </w:r>
    </w:p>
    <w:p>
      <w:pPr>
        <w:pStyle w:val="SourceCode"/>
      </w:pPr>
      <w:r>
        <w:rPr>
          <w:rStyle w:val="NormalTok"/>
        </w:rPr>
        <w:t xml:space="preserve">shwartz &lt;-</w:t>
      </w:r>
      <w:r>
        <w:rPr>
          <w:rStyle w:val="StringTok"/>
        </w:rPr>
        <w:t xml:space="preserve"> </w:t>
      </w:r>
      <w:r>
        <w:rPr>
          <w:rStyle w:val="ControlFlowTok"/>
        </w:rPr>
        <w:t xml:space="preserve">function</w:t>
      </w:r>
      <w:r>
        <w:rPr>
          <w:rStyle w:val="NormalTok"/>
        </w:rPr>
        <w:t xml:space="preserve">(ess) {</w:t>
      </w:r>
      <w:r>
        <w:br w:type="textWrapping"/>
      </w:r>
      <w:r>
        <w:rPr>
          <w:rStyle w:val="NormalTok"/>
        </w:rPr>
        <w:t xml:space="preserve">  ess &lt;-</w:t>
      </w:r>
      <w:r>
        <w:rPr>
          <w:rStyle w:val="StringTok"/>
        </w:rPr>
        <w:t xml:space="preserve"> </w:t>
      </w:r>
      <w:r>
        <w:rPr>
          <w:rStyle w:val="NormalTok"/>
        </w:rPr>
        <w:t xml:space="preserve">ess </w:t>
      </w:r>
      <w:r>
        <w:rPr>
          <w:rStyle w:val="OperatorTok"/>
        </w:rPr>
        <w:t xml:space="preserve">%&gt;%</w:t>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impsafe =</w:t>
      </w:r>
      <w:r>
        <w:rPr>
          <w:rStyle w:val="NormalTok"/>
        </w:rPr>
        <w:t xml:space="preserve"> </w:t>
      </w:r>
      <w:r>
        <w:rPr>
          <w:rStyle w:val="KeywordTok"/>
        </w:rPr>
        <w:t xml:space="preserve">as.numeric</w:t>
      </w:r>
      <w:r>
        <w:rPr>
          <w:rStyle w:val="NormalTok"/>
        </w:rPr>
        <w:t xml:space="preserve">(impsafe), </w:t>
      </w:r>
      <w:r>
        <w:rPr>
          <w:rStyle w:val="DataTypeTok"/>
        </w:rPr>
        <w:t xml:space="preserve">ipstrgv =</w:t>
      </w:r>
      <w:r>
        <w:rPr>
          <w:rStyle w:val="NormalTok"/>
        </w:rPr>
        <w:t xml:space="preserve"> </w:t>
      </w:r>
      <w:r>
        <w:rPr>
          <w:rStyle w:val="KeywordTok"/>
        </w:rPr>
        <w:t xml:space="preserve">as.numeric</w:t>
      </w:r>
      <w:r>
        <w:rPr>
          <w:rStyle w:val="NormalTok"/>
        </w:rPr>
        <w:t xml:space="preserve">(ipstrgv), </w:t>
      </w:r>
      <w:r>
        <w:rPr>
          <w:rStyle w:val="DataTypeTok"/>
        </w:rPr>
        <w:t xml:space="preserve">ipfrule =</w:t>
      </w:r>
      <w:r>
        <w:rPr>
          <w:rStyle w:val="NormalTok"/>
        </w:rPr>
        <w:t xml:space="preserve"> </w:t>
      </w:r>
      <w:r>
        <w:rPr>
          <w:rStyle w:val="KeywordTok"/>
        </w:rPr>
        <w:t xml:space="preserve">as.numeric</w:t>
      </w:r>
      <w:r>
        <w:rPr>
          <w:rStyle w:val="NormalTok"/>
        </w:rPr>
        <w:t xml:space="preserve">(ipfrule),</w:t>
      </w:r>
      <w:r>
        <w:br w:type="textWrapping"/>
      </w:r>
      <w:r>
        <w:rPr>
          <w:rStyle w:val="NormalTok"/>
        </w:rPr>
        <w:t xml:space="preserve">    </w:t>
      </w:r>
      <w:r>
        <w:rPr>
          <w:rStyle w:val="DataTypeTok"/>
        </w:rPr>
        <w:t xml:space="preserve">ipbhprp =</w:t>
      </w:r>
      <w:r>
        <w:rPr>
          <w:rStyle w:val="NormalTok"/>
        </w:rPr>
        <w:t xml:space="preserve"> </w:t>
      </w:r>
      <w:r>
        <w:rPr>
          <w:rStyle w:val="KeywordTok"/>
        </w:rPr>
        <w:t xml:space="preserve">as.numeric</w:t>
      </w:r>
      <w:r>
        <w:rPr>
          <w:rStyle w:val="NormalTok"/>
        </w:rPr>
        <w:t xml:space="preserve">(ipbhprp), </w:t>
      </w:r>
      <w:r>
        <w:rPr>
          <w:rStyle w:val="DataTypeTok"/>
        </w:rPr>
        <w:t xml:space="preserve">ipmodst =</w:t>
      </w:r>
      <w:r>
        <w:rPr>
          <w:rStyle w:val="NormalTok"/>
        </w:rPr>
        <w:t xml:space="preserve"> </w:t>
      </w:r>
      <w:r>
        <w:rPr>
          <w:rStyle w:val="KeywordTok"/>
        </w:rPr>
        <w:t xml:space="preserve">as.numeric</w:t>
      </w:r>
      <w:r>
        <w:rPr>
          <w:rStyle w:val="NormalTok"/>
        </w:rPr>
        <w:t xml:space="preserve">(ipmodst), </w:t>
      </w:r>
      <w:r>
        <w:rPr>
          <w:rStyle w:val="DataTypeTok"/>
        </w:rPr>
        <w:t xml:space="preserve">imptrad =</w:t>
      </w:r>
      <w:r>
        <w:rPr>
          <w:rStyle w:val="NormalTok"/>
        </w:rPr>
        <w:t xml:space="preserve"> </w:t>
      </w:r>
      <w:r>
        <w:rPr>
          <w:rStyle w:val="KeywordTok"/>
        </w:rPr>
        <w:t xml:space="preserve">as.numeric</w:t>
      </w:r>
      <w:r>
        <w:rPr>
          <w:rStyle w:val="NormalTok"/>
        </w:rPr>
        <w:t xml:space="preserve">(imptrad),</w:t>
      </w:r>
      <w:r>
        <w:br w:type="textWrapping"/>
      </w:r>
      <w:r>
        <w:rPr>
          <w:rStyle w:val="NormalTok"/>
        </w:rPr>
        <w:t xml:space="preserve">    </w:t>
      </w:r>
      <w:r>
        <w:rPr>
          <w:rStyle w:val="DataTypeTok"/>
        </w:rPr>
        <w:t xml:space="preserve">iphlppl =</w:t>
      </w:r>
      <w:r>
        <w:rPr>
          <w:rStyle w:val="NormalTok"/>
        </w:rPr>
        <w:t xml:space="preserve"> </w:t>
      </w:r>
      <w:r>
        <w:rPr>
          <w:rStyle w:val="KeywordTok"/>
        </w:rPr>
        <w:t xml:space="preserve">as.numeric</w:t>
      </w:r>
      <w:r>
        <w:rPr>
          <w:rStyle w:val="NormalTok"/>
        </w:rPr>
        <w:t xml:space="preserve">(iphlppl), </w:t>
      </w:r>
      <w:r>
        <w:rPr>
          <w:rStyle w:val="DataTypeTok"/>
        </w:rPr>
        <w:t xml:space="preserve">iplylfr =</w:t>
      </w:r>
      <w:r>
        <w:rPr>
          <w:rStyle w:val="NormalTok"/>
        </w:rPr>
        <w:t xml:space="preserve"> </w:t>
      </w:r>
      <w:r>
        <w:rPr>
          <w:rStyle w:val="KeywordTok"/>
        </w:rPr>
        <w:t xml:space="preserve">as.numeric</w:t>
      </w:r>
      <w:r>
        <w:rPr>
          <w:rStyle w:val="NormalTok"/>
        </w:rPr>
        <w:t xml:space="preserve">(iplylfr), </w:t>
      </w:r>
      <w:r>
        <w:rPr>
          <w:rStyle w:val="DataTypeTok"/>
        </w:rPr>
        <w:t xml:space="preserve">ipeqopt =</w:t>
      </w:r>
      <w:r>
        <w:rPr>
          <w:rStyle w:val="NormalTok"/>
        </w:rPr>
        <w:t xml:space="preserve"> </w:t>
      </w:r>
      <w:r>
        <w:rPr>
          <w:rStyle w:val="KeywordTok"/>
        </w:rPr>
        <w:t xml:space="preserve">as.numeric</w:t>
      </w:r>
      <w:r>
        <w:rPr>
          <w:rStyle w:val="NormalTok"/>
        </w:rPr>
        <w:t xml:space="preserve">(ipeqopt),</w:t>
      </w:r>
      <w:r>
        <w:br w:type="textWrapping"/>
      </w:r>
      <w:r>
        <w:rPr>
          <w:rStyle w:val="NormalTok"/>
        </w:rPr>
        <w:t xml:space="preserve">    </w:t>
      </w:r>
      <w:r>
        <w:rPr>
          <w:rStyle w:val="DataTypeTok"/>
        </w:rPr>
        <w:t xml:space="preserve">ipudrst =</w:t>
      </w:r>
      <w:r>
        <w:rPr>
          <w:rStyle w:val="NormalTok"/>
        </w:rPr>
        <w:t xml:space="preserve"> </w:t>
      </w:r>
      <w:r>
        <w:rPr>
          <w:rStyle w:val="KeywordTok"/>
        </w:rPr>
        <w:t xml:space="preserve">as.numeric</w:t>
      </w:r>
      <w:r>
        <w:rPr>
          <w:rStyle w:val="NormalTok"/>
        </w:rPr>
        <w:t xml:space="preserve">(ipudrst), </w:t>
      </w:r>
      <w:r>
        <w:rPr>
          <w:rStyle w:val="DataTypeTok"/>
        </w:rPr>
        <w:t xml:space="preserve">impenv =</w:t>
      </w:r>
      <w:r>
        <w:rPr>
          <w:rStyle w:val="NormalTok"/>
        </w:rPr>
        <w:t xml:space="preserve"> </w:t>
      </w:r>
      <w:r>
        <w:rPr>
          <w:rStyle w:val="KeywordTok"/>
        </w:rPr>
        <w:t xml:space="preserve">as.numeric</w:t>
      </w:r>
      <w:r>
        <w:rPr>
          <w:rStyle w:val="NormalTok"/>
        </w:rPr>
        <w:t xml:space="preserve">(impenv), </w:t>
      </w:r>
      <w:r>
        <w:rPr>
          <w:rStyle w:val="DataTypeTok"/>
        </w:rPr>
        <w:t xml:space="preserve">impdiff =</w:t>
      </w:r>
      <w:r>
        <w:rPr>
          <w:rStyle w:val="NormalTok"/>
        </w:rPr>
        <w:t xml:space="preserve"> </w:t>
      </w:r>
      <w:r>
        <w:rPr>
          <w:rStyle w:val="KeywordTok"/>
        </w:rPr>
        <w:t xml:space="preserve">as.numeric</w:t>
      </w:r>
      <w:r>
        <w:rPr>
          <w:rStyle w:val="NormalTok"/>
        </w:rPr>
        <w:t xml:space="preserve">(impdiff),</w:t>
      </w:r>
      <w:r>
        <w:br w:type="textWrapping"/>
      </w:r>
      <w:r>
        <w:rPr>
          <w:rStyle w:val="NormalTok"/>
        </w:rPr>
        <w:t xml:space="preserve">    </w:t>
      </w:r>
      <w:r>
        <w:rPr>
          <w:rStyle w:val="DataTypeTok"/>
        </w:rPr>
        <w:t xml:space="preserve">ipadvnt =</w:t>
      </w:r>
      <w:r>
        <w:rPr>
          <w:rStyle w:val="NormalTok"/>
        </w:rPr>
        <w:t xml:space="preserve"> </w:t>
      </w:r>
      <w:r>
        <w:rPr>
          <w:rStyle w:val="KeywordTok"/>
        </w:rPr>
        <w:t xml:space="preserve">as.numeric</w:t>
      </w:r>
      <w:r>
        <w:rPr>
          <w:rStyle w:val="NormalTok"/>
        </w:rPr>
        <w:t xml:space="preserve">(ipadvnt), </w:t>
      </w:r>
      <w:r>
        <w:rPr>
          <w:rStyle w:val="DataTypeTok"/>
        </w:rPr>
        <w:t xml:space="preserve">ipgdtim =</w:t>
      </w:r>
      <w:r>
        <w:rPr>
          <w:rStyle w:val="NormalTok"/>
        </w:rPr>
        <w:t xml:space="preserve"> </w:t>
      </w:r>
      <w:r>
        <w:rPr>
          <w:rStyle w:val="KeywordTok"/>
        </w:rPr>
        <w:t xml:space="preserve">as.numeric</w:t>
      </w:r>
      <w:r>
        <w:rPr>
          <w:rStyle w:val="NormalTok"/>
        </w:rPr>
        <w:t xml:space="preserve">(ipgdtim), </w:t>
      </w:r>
      <w:r>
        <w:rPr>
          <w:rStyle w:val="DataTypeTok"/>
        </w:rPr>
        <w:t xml:space="preserve">impfun =</w:t>
      </w:r>
      <w:r>
        <w:rPr>
          <w:rStyle w:val="NormalTok"/>
        </w:rPr>
        <w:t xml:space="preserve"> </w:t>
      </w:r>
      <w:r>
        <w:rPr>
          <w:rStyle w:val="KeywordTok"/>
        </w:rPr>
        <w:t xml:space="preserve">as.numeric</w:t>
      </w:r>
      <w:r>
        <w:rPr>
          <w:rStyle w:val="NormalTok"/>
        </w:rPr>
        <w:t xml:space="preserve">(impfun),</w:t>
      </w:r>
      <w:r>
        <w:br w:type="textWrapping"/>
      </w:r>
      <w:r>
        <w:rPr>
          <w:rStyle w:val="NormalTok"/>
        </w:rPr>
        <w:t xml:space="preserve">    </w:t>
      </w:r>
      <w:r>
        <w:rPr>
          <w:rStyle w:val="DataTypeTok"/>
        </w:rPr>
        <w:t xml:space="preserve">ipshabt =</w:t>
      </w:r>
      <w:r>
        <w:rPr>
          <w:rStyle w:val="NormalTok"/>
        </w:rPr>
        <w:t xml:space="preserve"> </w:t>
      </w:r>
      <w:r>
        <w:rPr>
          <w:rStyle w:val="KeywordTok"/>
        </w:rPr>
        <w:t xml:space="preserve">as.numeric</w:t>
      </w:r>
      <w:r>
        <w:rPr>
          <w:rStyle w:val="NormalTok"/>
        </w:rPr>
        <w:t xml:space="preserve">(ipshabt), </w:t>
      </w:r>
      <w:r>
        <w:rPr>
          <w:rStyle w:val="DataTypeTok"/>
        </w:rPr>
        <w:t xml:space="preserve">ipsuces =</w:t>
      </w:r>
      <w:r>
        <w:rPr>
          <w:rStyle w:val="NormalTok"/>
        </w:rPr>
        <w:t xml:space="preserve"> </w:t>
      </w:r>
      <w:r>
        <w:rPr>
          <w:rStyle w:val="KeywordTok"/>
        </w:rPr>
        <w:t xml:space="preserve">as.numeric</w:t>
      </w:r>
      <w:r>
        <w:rPr>
          <w:rStyle w:val="NormalTok"/>
        </w:rPr>
        <w:t xml:space="preserve">(ipsuces), </w:t>
      </w:r>
      <w:r>
        <w:rPr>
          <w:rStyle w:val="DataTypeTok"/>
        </w:rPr>
        <w:t xml:space="preserve">imprich =</w:t>
      </w:r>
      <w:r>
        <w:rPr>
          <w:rStyle w:val="NormalTok"/>
        </w:rPr>
        <w:t xml:space="preserve"> </w:t>
      </w:r>
      <w:r>
        <w:rPr>
          <w:rStyle w:val="KeywordTok"/>
        </w:rPr>
        <w:t xml:space="preserve">as.numeric</w:t>
      </w:r>
      <w:r>
        <w:rPr>
          <w:rStyle w:val="NormalTok"/>
        </w:rPr>
        <w:t xml:space="preserve">(imprich),</w:t>
      </w:r>
      <w:r>
        <w:br w:type="textWrapping"/>
      </w:r>
      <w:r>
        <w:rPr>
          <w:rStyle w:val="NormalTok"/>
        </w:rPr>
        <w:t xml:space="preserve">    </w:t>
      </w:r>
      <w:r>
        <w:rPr>
          <w:rStyle w:val="DataTypeTok"/>
        </w:rPr>
        <w:t xml:space="preserve">iprspot =</w:t>
      </w:r>
      <w:r>
        <w:rPr>
          <w:rStyle w:val="NormalTok"/>
        </w:rPr>
        <w:t xml:space="preserve"> </w:t>
      </w:r>
      <w:r>
        <w:rPr>
          <w:rStyle w:val="KeywordTok"/>
        </w:rPr>
        <w:t xml:space="preserve">as.numeric</w:t>
      </w:r>
      <w:r>
        <w:rPr>
          <w:rStyle w:val="NormalTok"/>
        </w:rPr>
        <w:t xml:space="preserve">(iprspot), </w:t>
      </w:r>
      <w:r>
        <w:rPr>
          <w:rStyle w:val="DataTypeTok"/>
        </w:rPr>
        <w:t xml:space="preserve">ipcrtiv =</w:t>
      </w:r>
      <w:r>
        <w:rPr>
          <w:rStyle w:val="NormalTok"/>
        </w:rPr>
        <w:t xml:space="preserve"> </w:t>
      </w:r>
      <w:r>
        <w:rPr>
          <w:rStyle w:val="KeywordTok"/>
        </w:rPr>
        <w:t xml:space="preserve">as.numeric</w:t>
      </w:r>
      <w:r>
        <w:rPr>
          <w:rStyle w:val="NormalTok"/>
        </w:rPr>
        <w:t xml:space="preserve">(ipcrtiv), </w:t>
      </w:r>
      <w:r>
        <w:rPr>
          <w:rStyle w:val="DataTypeTok"/>
        </w:rPr>
        <w:t xml:space="preserve">impfree =</w:t>
      </w:r>
      <w:r>
        <w:rPr>
          <w:rStyle w:val="NormalTok"/>
        </w:rPr>
        <w:t xml:space="preserve"> </w:t>
      </w:r>
      <w:r>
        <w:rPr>
          <w:rStyle w:val="KeywordTok"/>
        </w:rPr>
        <w:t xml:space="preserve">as.numeric</w:t>
      </w:r>
      <w:r>
        <w:rPr>
          <w:rStyle w:val="NormalTok"/>
        </w:rPr>
        <w:t xml:space="preserve">(impfree)</w:t>
      </w:r>
      <w:r>
        <w:br w:type="textWrapping"/>
      </w:r>
      <w:r>
        <w:rPr>
          <w:rStyle w:val="NormalTok"/>
        </w:rPr>
        <w:t xml:space="preserve">  )</w:t>
      </w:r>
      <w:r>
        <w:br w:type="textWrapping"/>
      </w:r>
      <w:r>
        <w:rPr>
          <w:rStyle w:val="NormalTok"/>
        </w:rPr>
        <w:t xml:space="preserve">  coef &lt;-</w:t>
      </w:r>
      <w:r>
        <w:rPr>
          <w:rStyle w:val="StringTok"/>
        </w:rPr>
        <w:t xml:space="preserve"> </w:t>
      </w:r>
      <w:r>
        <w:rPr>
          <w:rStyle w:val="NormalTok"/>
        </w:rPr>
        <w:t xml:space="preserve">ess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m =</w:t>
      </w:r>
      <w:r>
        <w:rPr>
          <w:rStyle w:val="NormalTok"/>
        </w:rPr>
        <w:t xml:space="preserve"> (impsafe </w:t>
      </w:r>
      <w:r>
        <w:rPr>
          <w:rStyle w:val="OperatorTok"/>
        </w:rPr>
        <w:t xml:space="preserve">+</w:t>
      </w:r>
      <w:r>
        <w:rPr>
          <w:rStyle w:val="StringTok"/>
        </w:rPr>
        <w:t xml:space="preserve"> </w:t>
      </w:r>
      <w:r>
        <w:rPr>
          <w:rStyle w:val="NormalTok"/>
        </w:rPr>
        <w:t xml:space="preserve">ipstrgv </w:t>
      </w:r>
      <w:r>
        <w:rPr>
          <w:rStyle w:val="OperatorTok"/>
        </w:rPr>
        <w:t xml:space="preserve">+</w:t>
      </w:r>
      <w:r>
        <w:rPr>
          <w:rStyle w:val="StringTok"/>
        </w:rPr>
        <w:t xml:space="preserve"> </w:t>
      </w:r>
      <w:r>
        <w:rPr>
          <w:rStyle w:val="NormalTok"/>
        </w:rPr>
        <w:t xml:space="preserve">ipfrule </w:t>
      </w:r>
      <w:r>
        <w:rPr>
          <w:rStyle w:val="OperatorTok"/>
        </w:rPr>
        <w:t xml:space="preserve">+</w:t>
      </w:r>
      <w:r>
        <w:rPr>
          <w:rStyle w:val="StringTok"/>
        </w:rPr>
        <w:t xml:space="preserve"> </w:t>
      </w:r>
      <w:r>
        <w:rPr>
          <w:rStyle w:val="NormalTok"/>
        </w:rPr>
        <w:t xml:space="preserve">ipbhprp </w:t>
      </w:r>
      <w:r>
        <w:rPr>
          <w:rStyle w:val="OperatorTok"/>
        </w:rPr>
        <w:t xml:space="preserve">+</w:t>
      </w:r>
      <w:r>
        <w:rPr>
          <w:rStyle w:val="StringTok"/>
        </w:rPr>
        <w:t xml:space="preserve"> </w:t>
      </w:r>
      <w:r>
        <w:rPr>
          <w:rStyle w:val="NormalTok"/>
        </w:rPr>
        <w:t xml:space="preserve">ipmodst </w:t>
      </w:r>
      <w:r>
        <w:rPr>
          <w:rStyle w:val="OperatorTok"/>
        </w:rPr>
        <w:t xml:space="preserve">+</w:t>
      </w:r>
      <w:r>
        <w:rPr>
          <w:rStyle w:val="StringTok"/>
        </w:rPr>
        <w:t xml:space="preserve"> </w:t>
      </w:r>
      <w:r>
        <w:rPr>
          <w:rStyle w:val="NormalTok"/>
        </w:rPr>
        <w:t xml:space="preserve">imptrad </w:t>
      </w:r>
      <w:r>
        <w:rPr>
          <w:rStyle w:val="OperatorTok"/>
        </w:rPr>
        <w:t xml:space="preserve">+</w:t>
      </w:r>
      <w:r>
        <w:rPr>
          <w:rStyle w:val="StringTok"/>
        </w:rPr>
        <w:t xml:space="preserve"> </w:t>
      </w:r>
      <w:r>
        <w:rPr>
          <w:rStyle w:val="NormalTok"/>
        </w:rPr>
        <w:t xml:space="preserve">iphlppl </w:t>
      </w:r>
      <w:r>
        <w:rPr>
          <w:rStyle w:val="OperatorTok"/>
        </w:rPr>
        <w:t xml:space="preserve">+</w:t>
      </w:r>
      <w:r>
        <w:rPr>
          <w:rStyle w:val="StringTok"/>
        </w:rPr>
        <w:t xml:space="preserve"> </w:t>
      </w:r>
      <w:r>
        <w:rPr>
          <w:rStyle w:val="NormalTok"/>
        </w:rPr>
        <w:t xml:space="preserve">iplylfr </w:t>
      </w:r>
      <w:r>
        <w:rPr>
          <w:rStyle w:val="OperatorTok"/>
        </w:rPr>
        <w:t xml:space="preserve">+</w:t>
      </w:r>
      <w:r>
        <w:rPr>
          <w:rStyle w:val="StringTok"/>
        </w:rPr>
        <w:t xml:space="preserve"> </w:t>
      </w:r>
      <w:r>
        <w:rPr>
          <w:rStyle w:val="NormalTok"/>
        </w:rPr>
        <w:t xml:space="preserve">ipeqopt </w:t>
      </w:r>
      <w:r>
        <w:rPr>
          <w:rStyle w:val="OperatorTok"/>
        </w:rPr>
        <w:t xml:space="preserve">+</w:t>
      </w:r>
      <w:r>
        <w:br w:type="textWrapping"/>
      </w:r>
      <w:r>
        <w:rPr>
          <w:rStyle w:val="StringTok"/>
        </w:rPr>
        <w:t xml:space="preserve">                           </w:t>
      </w:r>
      <w:r>
        <w:rPr>
          <w:rStyle w:val="NormalTok"/>
        </w:rPr>
        <w:t xml:space="preserve">ipudrst </w:t>
      </w:r>
      <w:r>
        <w:rPr>
          <w:rStyle w:val="OperatorTok"/>
        </w:rPr>
        <w:t xml:space="preserve">+</w:t>
      </w:r>
      <w:r>
        <w:rPr>
          <w:rStyle w:val="StringTok"/>
        </w:rPr>
        <w:t xml:space="preserve"> </w:t>
      </w:r>
      <w:r>
        <w:rPr>
          <w:rStyle w:val="NormalTok"/>
        </w:rPr>
        <w:t xml:space="preserve">impenv  </w:t>
      </w:r>
      <w:r>
        <w:rPr>
          <w:rStyle w:val="OperatorTok"/>
        </w:rPr>
        <w:t xml:space="preserve">+</w:t>
      </w:r>
      <w:r>
        <w:rPr>
          <w:rStyle w:val="StringTok"/>
        </w:rPr>
        <w:t xml:space="preserve"> </w:t>
      </w:r>
      <w:r>
        <w:rPr>
          <w:rStyle w:val="NormalTok"/>
        </w:rPr>
        <w:t xml:space="preserve">impdiff </w:t>
      </w:r>
      <w:r>
        <w:rPr>
          <w:rStyle w:val="OperatorTok"/>
        </w:rPr>
        <w:t xml:space="preserve">+</w:t>
      </w:r>
      <w:r>
        <w:rPr>
          <w:rStyle w:val="StringTok"/>
        </w:rPr>
        <w:t xml:space="preserve"> </w:t>
      </w:r>
      <w:r>
        <w:rPr>
          <w:rStyle w:val="NormalTok"/>
        </w:rPr>
        <w:t xml:space="preserve">ipadvnt </w:t>
      </w:r>
      <w:r>
        <w:rPr>
          <w:rStyle w:val="OperatorTok"/>
        </w:rPr>
        <w:t xml:space="preserve">+</w:t>
      </w:r>
      <w:r>
        <w:rPr>
          <w:rStyle w:val="StringTok"/>
        </w:rPr>
        <w:t xml:space="preserve"> </w:t>
      </w:r>
      <w:r>
        <w:rPr>
          <w:rStyle w:val="NormalTok"/>
        </w:rPr>
        <w:t xml:space="preserve">ipgdtim </w:t>
      </w:r>
      <w:r>
        <w:rPr>
          <w:rStyle w:val="OperatorTok"/>
        </w:rPr>
        <w:t xml:space="preserve">+</w:t>
      </w:r>
      <w:r>
        <w:rPr>
          <w:rStyle w:val="StringTok"/>
        </w:rPr>
        <w:t xml:space="preserve"> </w:t>
      </w:r>
      <w:r>
        <w:rPr>
          <w:rStyle w:val="NormalTok"/>
        </w:rPr>
        <w:t xml:space="preserve">impfun </w:t>
      </w:r>
      <w:r>
        <w:rPr>
          <w:rStyle w:val="OperatorTok"/>
        </w:rPr>
        <w:t xml:space="preserve">+</w:t>
      </w:r>
      <w:r>
        <w:rPr>
          <w:rStyle w:val="StringTok"/>
        </w:rPr>
        <w:t xml:space="preserve"> </w:t>
      </w:r>
      <w:r>
        <w:rPr>
          <w:rStyle w:val="NormalTok"/>
        </w:rPr>
        <w:t xml:space="preserve">ipshabt </w:t>
      </w:r>
      <w:r>
        <w:rPr>
          <w:rStyle w:val="OperatorTok"/>
        </w:rPr>
        <w:t xml:space="preserve">+</w:t>
      </w:r>
      <w:r>
        <w:rPr>
          <w:rStyle w:val="StringTok"/>
        </w:rPr>
        <w:t xml:space="preserve"> </w:t>
      </w:r>
      <w:r>
        <w:rPr>
          <w:rStyle w:val="NormalTok"/>
        </w:rPr>
        <w:t xml:space="preserve">ipsuces </w:t>
      </w:r>
      <w:r>
        <w:rPr>
          <w:rStyle w:val="OperatorTok"/>
        </w:rPr>
        <w:t xml:space="preserve">+</w:t>
      </w:r>
      <w:r>
        <w:rPr>
          <w:rStyle w:val="StringTok"/>
        </w:rPr>
        <w:t xml:space="preserve"> </w:t>
      </w:r>
      <w:r>
        <w:rPr>
          <w:rStyle w:val="NormalTok"/>
        </w:rPr>
        <w:t xml:space="preserve">imprich </w:t>
      </w:r>
      <w:r>
        <w:rPr>
          <w:rStyle w:val="OperatorTok"/>
        </w:rPr>
        <w:t xml:space="preserve">+</w:t>
      </w:r>
      <w:r>
        <w:br w:type="textWrapping"/>
      </w:r>
      <w:r>
        <w:rPr>
          <w:rStyle w:val="StringTok"/>
        </w:rPr>
        <w:t xml:space="preserve">                           </w:t>
      </w:r>
      <w:r>
        <w:rPr>
          <w:rStyle w:val="NormalTok"/>
        </w:rPr>
        <w:t xml:space="preserve">iprspot </w:t>
      </w:r>
      <w:r>
        <w:rPr>
          <w:rStyle w:val="OperatorTok"/>
        </w:rPr>
        <w:t xml:space="preserve">+</w:t>
      </w:r>
      <w:r>
        <w:rPr>
          <w:rStyle w:val="StringTok"/>
        </w:rPr>
        <w:t xml:space="preserve"> </w:t>
      </w:r>
      <w:r>
        <w:rPr>
          <w:rStyle w:val="NormalTok"/>
        </w:rPr>
        <w:t xml:space="preserve">ipcrtiv </w:t>
      </w:r>
      <w:r>
        <w:rPr>
          <w:rStyle w:val="OperatorTok"/>
        </w:rPr>
        <w:t xml:space="preserve">+</w:t>
      </w:r>
      <w:r>
        <w:rPr>
          <w:rStyle w:val="StringTok"/>
        </w:rPr>
        <w:t xml:space="preserve"> </w:t>
      </w:r>
      <w:r>
        <w:rPr>
          <w:rStyle w:val="NormalTok"/>
        </w:rPr>
        <w:t xml:space="preserve">impfree)</w:t>
      </w:r>
      <w:r>
        <w:rPr>
          <w:rStyle w:val="OperatorTok"/>
        </w:rPr>
        <w:t xml:space="preserve">/</w:t>
      </w:r>
      <w:r>
        <w:rPr>
          <w:rStyle w:val="DecValTok"/>
        </w:rPr>
        <w:t xml:space="preserve">21</w:t>
      </w:r>
      <w:r>
        <w:rPr>
          <w:rStyle w:val="NormalTok"/>
        </w:rPr>
        <w:t xml:space="preserve">) </w:t>
      </w:r>
      <w:r>
        <w:rPr>
          <w:rStyle w:val="OperatorTok"/>
        </w:rPr>
        <w:t xml:space="preserve">%&gt;%</w:t>
      </w:r>
      <w:r>
        <w:rPr>
          <w:rStyle w:val="StringTok"/>
        </w:rPr>
        <w:t xml:space="preserve"> </w:t>
      </w:r>
      <w:r>
        <w:rPr>
          <w:rStyle w:val="KeywordTok"/>
        </w:rPr>
        <w:t xml:space="preserve">pull</w:t>
      </w:r>
      <w:r>
        <w:rPr>
          <w:rStyle w:val="NormalTok"/>
        </w:rPr>
        <w:t xml:space="preserve">(</w:t>
      </w:r>
      <w:r>
        <w:rPr>
          <w:rStyle w:val="StringTok"/>
        </w:rPr>
        <w:t xml:space="preserve">"m"</w:t>
      </w:r>
      <w:r>
        <w:rPr>
          <w:rStyle w:val="NormalTok"/>
        </w:rPr>
        <w:t xml:space="preserve">)</w:t>
      </w:r>
      <w:r>
        <w:br w:type="textWrapping"/>
      </w:r>
      <w:r>
        <w:rPr>
          <w:rStyle w:val="NormalTok"/>
        </w:rPr>
        <w:t xml:space="preserve">  ess </w:t>
      </w:r>
      <w:r>
        <w:rPr>
          <w:rStyle w:val="OperatorTok"/>
        </w:rPr>
        <w:t xml:space="preserve">%&gt;%</w:t>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StringTok"/>
        </w:rPr>
        <w:t xml:space="preserve">`</w:t>
      </w:r>
      <w:r>
        <w:rPr>
          <w:rStyle w:val="DataTypeTok"/>
        </w:rPr>
        <w:t xml:space="preserve">Self-Enhancement</w:t>
      </w:r>
      <w:r>
        <w:rPr>
          <w:rStyle w:val="StringTok"/>
        </w:rPr>
        <w:t xml:space="preserve">`</w:t>
      </w:r>
      <w:r>
        <w:rPr>
          <w:rStyle w:val="NormalTok"/>
        </w:rPr>
        <w:t xml:space="preserve"> =</w:t>
      </w:r>
      <w:r>
        <w:rPr>
          <w:rStyle w:val="StringTok"/>
        </w:rPr>
        <w:t xml:space="preserve"> </w:t>
      </w:r>
      <w:r>
        <w:rPr>
          <w:rStyle w:val="NormalTok"/>
        </w:rPr>
        <w:t xml:space="preserve">(imprich </w:t>
      </w:r>
      <w:r>
        <w:rPr>
          <w:rStyle w:val="OperatorTok"/>
        </w:rPr>
        <w:t xml:space="preserve">+</w:t>
      </w:r>
      <w:r>
        <w:rPr>
          <w:rStyle w:val="StringTok"/>
        </w:rPr>
        <w:t xml:space="preserve"> </w:t>
      </w:r>
      <w:r>
        <w:rPr>
          <w:rStyle w:val="NormalTok"/>
        </w:rPr>
        <w:t xml:space="preserve">iprspot</w:t>
      </w:r>
      <w:r>
        <w:rPr>
          <w:rStyle w:val="OperatorTok"/>
        </w:rPr>
        <w:t xml:space="preserve">+</w:t>
      </w:r>
      <w:r>
        <w:rPr>
          <w:rStyle w:val="StringTok"/>
        </w:rPr>
        <w:t xml:space="preserve"> </w:t>
      </w:r>
      <w:r>
        <w:rPr>
          <w:rStyle w:val="NormalTok"/>
        </w:rPr>
        <w:t xml:space="preserve">ipshabt </w:t>
      </w:r>
      <w:r>
        <w:rPr>
          <w:rStyle w:val="OperatorTok"/>
        </w:rPr>
        <w:t xml:space="preserve">+</w:t>
      </w:r>
      <w:r>
        <w:rPr>
          <w:rStyle w:val="StringTok"/>
        </w:rPr>
        <w:t xml:space="preserve"> </w:t>
      </w:r>
      <w:r>
        <w:rPr>
          <w:rStyle w:val="NormalTok"/>
        </w:rPr>
        <w:t xml:space="preserve">ipsuces) </w:t>
      </w:r>
      <w:r>
        <w:rPr>
          <w:rStyle w:val="OperatorTok"/>
        </w:rPr>
        <w:t xml:space="preserve">/</w:t>
      </w:r>
      <w:r>
        <w:rPr>
          <w:rStyle w:val="StringTok"/>
        </w:rPr>
        <w:t xml:space="preserve"> </w:t>
      </w:r>
      <w:r>
        <w:rPr>
          <w:rStyle w:val="DecValTok"/>
        </w:rPr>
        <w:t xml:space="preserve">4</w:t>
      </w:r>
      <w:r>
        <w:rPr>
          <w:rStyle w:val="NormalTok"/>
        </w:rPr>
        <w:t xml:space="preserve"> </w:t>
      </w:r>
      <w:r>
        <w:rPr>
          <w:rStyle w:val="OperatorTok"/>
        </w:rPr>
        <w:t xml:space="preserve">-</w:t>
      </w:r>
      <w:r>
        <w:rPr>
          <w:rStyle w:val="StringTok"/>
        </w:rPr>
        <w:t xml:space="preserve"> </w:t>
      </w:r>
      <w:r>
        <w:rPr>
          <w:rStyle w:val="NormalTok"/>
        </w:rPr>
        <w:t xml:space="preserve">coef, </w:t>
      </w:r>
      <w:r>
        <w:br w:type="textWrapping"/>
      </w:r>
      <w:r>
        <w:rPr>
          <w:rStyle w:val="NormalTok"/>
        </w:rPr>
        <w:t xml:space="preserve">     </w:t>
      </w:r>
      <w:r>
        <w:rPr>
          <w:rStyle w:val="DataTypeTok"/>
        </w:rPr>
        <w:t xml:space="preserve">Conservation =</w:t>
      </w:r>
      <w:r>
        <w:rPr>
          <w:rStyle w:val="NormalTok"/>
        </w:rPr>
        <w:t xml:space="preserve"> (impsafe </w:t>
      </w:r>
      <w:r>
        <w:rPr>
          <w:rStyle w:val="OperatorTok"/>
        </w:rPr>
        <w:t xml:space="preserve">+</w:t>
      </w:r>
      <w:r>
        <w:rPr>
          <w:rStyle w:val="StringTok"/>
        </w:rPr>
        <w:t xml:space="preserve"> </w:t>
      </w:r>
      <w:r>
        <w:rPr>
          <w:rStyle w:val="NormalTok"/>
        </w:rPr>
        <w:t xml:space="preserve">ipstrgv </w:t>
      </w:r>
      <w:r>
        <w:rPr>
          <w:rStyle w:val="OperatorTok"/>
        </w:rPr>
        <w:t xml:space="preserve">+</w:t>
      </w:r>
      <w:r>
        <w:rPr>
          <w:rStyle w:val="StringTok"/>
        </w:rPr>
        <w:t xml:space="preserve"> </w:t>
      </w:r>
      <w:r>
        <w:rPr>
          <w:rStyle w:val="NormalTok"/>
        </w:rPr>
        <w:t xml:space="preserve">ipfrule </w:t>
      </w:r>
      <w:r>
        <w:rPr>
          <w:rStyle w:val="OperatorTok"/>
        </w:rPr>
        <w:t xml:space="preserve">+</w:t>
      </w:r>
      <w:r>
        <w:rPr>
          <w:rStyle w:val="StringTok"/>
        </w:rPr>
        <w:t xml:space="preserve"> </w:t>
      </w:r>
      <w:r>
        <w:rPr>
          <w:rStyle w:val="NormalTok"/>
        </w:rPr>
        <w:t xml:space="preserve">ipbhprp </w:t>
      </w:r>
      <w:r>
        <w:rPr>
          <w:rStyle w:val="OperatorTok"/>
        </w:rPr>
        <w:t xml:space="preserve">+</w:t>
      </w:r>
      <w:r>
        <w:rPr>
          <w:rStyle w:val="StringTok"/>
        </w:rPr>
        <w:t xml:space="preserve"> </w:t>
      </w:r>
      <w:r>
        <w:rPr>
          <w:rStyle w:val="NormalTok"/>
        </w:rPr>
        <w:t xml:space="preserve">ipmodst </w:t>
      </w:r>
      <w:r>
        <w:rPr>
          <w:rStyle w:val="OperatorTok"/>
        </w:rPr>
        <w:t xml:space="preserve">+</w:t>
      </w:r>
      <w:r>
        <w:rPr>
          <w:rStyle w:val="StringTok"/>
        </w:rPr>
        <w:t xml:space="preserve"> </w:t>
      </w:r>
      <w:r>
        <w:rPr>
          <w:rStyle w:val="NormalTok"/>
        </w:rPr>
        <w:t xml:space="preserve">imptrad)</w:t>
      </w:r>
      <w:r>
        <w:rPr>
          <w:rStyle w:val="OperatorTok"/>
        </w:rPr>
        <w:t xml:space="preserve">/</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coef,</w:t>
      </w:r>
      <w:r>
        <w:br w:type="textWrapping"/>
      </w:r>
      <w:r>
        <w:rPr>
          <w:rStyle w:val="NormalTok"/>
        </w:rPr>
        <w:t xml:space="preserve">    </w:t>
      </w:r>
      <w:r>
        <w:rPr>
          <w:rStyle w:val="StringTok"/>
        </w:rPr>
        <w:t xml:space="preserve">`</w:t>
      </w:r>
      <w:r>
        <w:rPr>
          <w:rStyle w:val="DataTypeTok"/>
        </w:rPr>
        <w:t xml:space="preserve">Self-Trancendence</w:t>
      </w:r>
      <w:r>
        <w:rPr>
          <w:rStyle w:val="StringTok"/>
        </w:rPr>
        <w:t xml:space="preserve">`</w:t>
      </w:r>
      <w:r>
        <w:rPr>
          <w:rStyle w:val="NormalTok"/>
        </w:rPr>
        <w:t xml:space="preserve"> =</w:t>
      </w:r>
      <w:r>
        <w:rPr>
          <w:rStyle w:val="StringTok"/>
        </w:rPr>
        <w:t xml:space="preserve"> </w:t>
      </w:r>
      <w:r>
        <w:rPr>
          <w:rStyle w:val="NormalTok"/>
        </w:rPr>
        <w:t xml:space="preserve">(iphlppl </w:t>
      </w:r>
      <w:r>
        <w:rPr>
          <w:rStyle w:val="OperatorTok"/>
        </w:rPr>
        <w:t xml:space="preserve">+</w:t>
      </w:r>
      <w:r>
        <w:rPr>
          <w:rStyle w:val="StringTok"/>
        </w:rPr>
        <w:t xml:space="preserve"> </w:t>
      </w:r>
      <w:r>
        <w:rPr>
          <w:rStyle w:val="NormalTok"/>
        </w:rPr>
        <w:t xml:space="preserve">iplylfr </w:t>
      </w:r>
      <w:r>
        <w:rPr>
          <w:rStyle w:val="OperatorTok"/>
        </w:rPr>
        <w:t xml:space="preserve">+</w:t>
      </w:r>
      <w:r>
        <w:rPr>
          <w:rStyle w:val="StringTok"/>
        </w:rPr>
        <w:t xml:space="preserve"> </w:t>
      </w:r>
      <w:r>
        <w:rPr>
          <w:rStyle w:val="NormalTok"/>
        </w:rPr>
        <w:t xml:space="preserve">ipeqopt </w:t>
      </w:r>
      <w:r>
        <w:rPr>
          <w:rStyle w:val="OperatorTok"/>
        </w:rPr>
        <w:t xml:space="preserve">+</w:t>
      </w:r>
      <w:r>
        <w:rPr>
          <w:rStyle w:val="StringTok"/>
        </w:rPr>
        <w:t xml:space="preserve"> </w:t>
      </w:r>
      <w:r>
        <w:rPr>
          <w:rStyle w:val="NormalTok"/>
        </w:rPr>
        <w:t xml:space="preserve">ipudrst </w:t>
      </w:r>
      <w:r>
        <w:rPr>
          <w:rStyle w:val="OperatorTok"/>
        </w:rPr>
        <w:t xml:space="preserve">+</w:t>
      </w:r>
      <w:r>
        <w:rPr>
          <w:rStyle w:val="StringTok"/>
        </w:rPr>
        <w:t xml:space="preserve"> </w:t>
      </w:r>
      <w:r>
        <w:rPr>
          <w:rStyle w:val="NormalTok"/>
        </w:rPr>
        <w:t xml:space="preserve">impenv)</w:t>
      </w:r>
      <w:r>
        <w:rPr>
          <w:rStyle w:val="Operator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NormalTok"/>
        </w:rPr>
        <w:t xml:space="preserve">coef,</w:t>
      </w:r>
      <w:r>
        <w:br w:type="textWrapping"/>
      </w:r>
      <w:r>
        <w:rPr>
          <w:rStyle w:val="NormalTok"/>
        </w:rPr>
        <w:t xml:space="preserve">    </w:t>
      </w:r>
      <w:r>
        <w:rPr>
          <w:rStyle w:val="StringTok"/>
        </w:rPr>
        <w:t xml:space="preserve">`</w:t>
      </w:r>
      <w:r>
        <w:rPr>
          <w:rStyle w:val="DataTypeTok"/>
        </w:rPr>
        <w:t xml:space="preserve">Openness to Change</w:t>
      </w:r>
      <w:r>
        <w:rPr>
          <w:rStyle w:val="StringTok"/>
        </w:rPr>
        <w:t xml:space="preserve">`</w:t>
      </w:r>
      <w:r>
        <w:rPr>
          <w:rStyle w:val="NormalTok"/>
        </w:rPr>
        <w:t xml:space="preserve"> =</w:t>
      </w:r>
      <w:r>
        <w:rPr>
          <w:rStyle w:val="StringTok"/>
        </w:rPr>
        <w:t xml:space="preserve"> </w:t>
      </w:r>
      <w:r>
        <w:rPr>
          <w:rStyle w:val="NormalTok"/>
        </w:rPr>
        <w:t xml:space="preserve">(ipcrtiv </w:t>
      </w:r>
      <w:r>
        <w:rPr>
          <w:rStyle w:val="OperatorTok"/>
        </w:rPr>
        <w:t xml:space="preserve">+</w:t>
      </w:r>
      <w:r>
        <w:rPr>
          <w:rStyle w:val="StringTok"/>
        </w:rPr>
        <w:t xml:space="preserve"> </w:t>
      </w:r>
      <w:r>
        <w:rPr>
          <w:rStyle w:val="NormalTok"/>
        </w:rPr>
        <w:t xml:space="preserve">impfree </w:t>
      </w:r>
      <w:r>
        <w:rPr>
          <w:rStyle w:val="OperatorTok"/>
        </w:rPr>
        <w:t xml:space="preserve">+</w:t>
      </w:r>
      <w:r>
        <w:rPr>
          <w:rStyle w:val="StringTok"/>
        </w:rPr>
        <w:t xml:space="preserve"> </w:t>
      </w:r>
      <w:r>
        <w:rPr>
          <w:rStyle w:val="NormalTok"/>
        </w:rPr>
        <w:t xml:space="preserve">impdiff </w:t>
      </w:r>
      <w:r>
        <w:rPr>
          <w:rStyle w:val="OperatorTok"/>
        </w:rPr>
        <w:t xml:space="preserve">+</w:t>
      </w:r>
      <w:r>
        <w:rPr>
          <w:rStyle w:val="StringTok"/>
        </w:rPr>
        <w:t xml:space="preserve"> </w:t>
      </w:r>
      <w:r>
        <w:rPr>
          <w:rStyle w:val="NormalTok"/>
        </w:rPr>
        <w:t xml:space="preserve">ipadvnt </w:t>
      </w:r>
      <w:r>
        <w:rPr>
          <w:rStyle w:val="OperatorTok"/>
        </w:rPr>
        <w:t xml:space="preserve">+</w:t>
      </w:r>
      <w:r>
        <w:rPr>
          <w:rStyle w:val="StringTok"/>
        </w:rPr>
        <w:t xml:space="preserve"> </w:t>
      </w:r>
      <w:r>
        <w:rPr>
          <w:rStyle w:val="NormalTok"/>
        </w:rPr>
        <w:t xml:space="preserve">ipgdtim </w:t>
      </w:r>
      <w:r>
        <w:rPr>
          <w:rStyle w:val="OperatorTok"/>
        </w:rPr>
        <w:t xml:space="preserve">+</w:t>
      </w:r>
      <w:r>
        <w:rPr>
          <w:rStyle w:val="StringTok"/>
        </w:rPr>
        <w:t xml:space="preserve"> </w:t>
      </w:r>
      <w:r>
        <w:rPr>
          <w:rStyle w:val="NormalTok"/>
        </w:rPr>
        <w:t xml:space="preserve">impfun)</w:t>
      </w:r>
      <w:r>
        <w:rPr>
          <w:rStyle w:val="OperatorTok"/>
        </w:rPr>
        <w:t xml:space="preserve">/</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coef</w:t>
      </w:r>
      <w:r>
        <w:br w:type="textWrapping"/>
      </w:r>
      <w:r>
        <w:rPr>
          <w:rStyle w:val="NormalTok"/>
        </w:rPr>
        <w:t xml:space="preserve">    )</w:t>
      </w:r>
      <w:r>
        <w:br w:type="textWrapping"/>
      </w:r>
      <w:r>
        <w:rPr>
          <w:rStyle w:val="NormalTok"/>
        </w:rPr>
        <w:t xml:space="preserve">}</w:t>
      </w:r>
    </w:p>
    <w:p>
      <w:pPr>
        <w:pStyle w:val="FirstParagraph"/>
      </w:pPr>
      <w:r>
        <w:t xml:space="preserve">Таким чином, ми утворили 4-ри нові змінні, які узагальнено відтворюють цінності європейців.</w:t>
      </w:r>
    </w:p>
    <w:p>
      <w:pPr>
        <w:pStyle w:val="BodyText"/>
      </w:pPr>
      <w:r>
        <w:t xml:space="preserve">Наступний крок - визначити, скільки років зростання економіки припало на життя кожного респондента в масиві. Це ми визначили за допомогою наступних кроків:</w:t>
      </w:r>
    </w:p>
    <w:p>
      <w:pPr>
        <w:pStyle w:val="Compact"/>
        <w:numPr>
          <w:numId w:val="1021"/>
          <w:ilvl w:val="0"/>
        </w:numPr>
      </w:pPr>
      <w:r>
        <w:t xml:space="preserve">визначили, який проміжок часу нас цікавить у випадку кожного окремого респондента нас цікавить (від року народження до року проведення опитування);</w:t>
      </w:r>
    </w:p>
    <w:p>
      <w:pPr>
        <w:pStyle w:val="Compact"/>
        <w:numPr>
          <w:numId w:val="1021"/>
          <w:ilvl w:val="0"/>
        </w:numPr>
      </w:pPr>
      <w:r>
        <w:t xml:space="preserve">у масиві з даними про ВВП країн за паритетом купіівельної спроможності визначили для кожної країни темпи приросту починаючи з 1900 року;</w:t>
      </w:r>
    </w:p>
    <w:p>
      <w:pPr>
        <w:pStyle w:val="Compact"/>
        <w:numPr>
          <w:numId w:val="1021"/>
          <w:ilvl w:val="0"/>
        </w:numPr>
      </w:pPr>
      <w:r>
        <w:t xml:space="preserve">за змінними країни та років поєднали два масиви і отримали змінну, в якій було зафіксовано темпи приросту ВВП в усі роки життя респондента до моменту опитування (технічно дані зберігалися у форматі</w:t>
      </w:r>
      <w:r>
        <w:t xml:space="preserve"> </w:t>
      </w:r>
      <w:r>
        <w:rPr>
          <w:i/>
        </w:rPr>
        <w:t xml:space="preserve">list</w:t>
      </w:r>
      <w:r>
        <w:t xml:space="preserve">);</w:t>
      </w:r>
    </w:p>
    <w:p>
      <w:pPr>
        <w:pStyle w:val="Compact"/>
        <w:numPr>
          <w:numId w:val="1021"/>
          <w:ilvl w:val="0"/>
        </w:numPr>
      </w:pPr>
      <w:r>
        <w:t xml:space="preserve">зробили на основі створеної змінної ще одну змінну, де зафіксували частку років життя респондента, коли економіка його країни мала приріст.</w:t>
      </w:r>
    </w:p>
    <w:p>
      <w:pPr>
        <w:pStyle w:val="FirstParagraph"/>
      </w:pPr>
      <w:r>
        <w:t xml:space="preserve">Саме останню змінну ми далі використовуємо для перевірки гіпотез. Змінна з показниками приросту протягом кожного року життя респондента була залишена для можливості у ході аналізу порахувати додаткові змінні, наприклад, середній темп росту протягом життя чи в певний період життя тощо.</w:t>
      </w:r>
    </w:p>
    <w:p>
      <w:pPr>
        <w:pStyle w:val="BodyText"/>
      </w:pPr>
      <w:r>
        <w:t xml:space="preserve">Приріст ВВП рахувався наступним чином:</w:t>
      </w:r>
    </w:p>
    <w:p>
      <w:pPr>
        <w:pStyle w:val="BodyText"/>
      </w:pPr>
      <m:oMathPara>
        <m:oMathParaPr>
          <m:jc m:val="center"/>
        </m:oMathParaPr>
        <m:oMath>
          <m:r>
            <m:t>П</m:t>
          </m:r>
          <m:r>
            <m:t>р</m:t>
          </m:r>
          <m:r>
            <m:t>и</m:t>
          </m:r>
          <m:r>
            <m:t>р</m:t>
          </m:r>
          <m:r>
            <m:t>і</m:t>
          </m:r>
          <m:r>
            <m:t>с</m:t>
          </m:r>
          <m:r>
            <m:t>т</m:t>
          </m:r>
          <m:r>
            <m:t>=</m:t>
          </m:r>
          <m:f>
            <m:fPr>
              <m:type m:val="bar"/>
            </m:fPr>
            <m:num>
              <m:r>
                <m:t>В</m:t>
              </m:r>
              <m:r>
                <m:t>В</m:t>
              </m:r>
              <m:r>
                <m:t>П</m:t>
              </m:r>
              <m:r>
                <m:t> </m:t>
              </m:r>
              <m:r>
                <m:t>м</m:t>
              </m:r>
              <m:r>
                <m:t>и</m:t>
              </m:r>
              <m:r>
                <m:t>н</m:t>
              </m:r>
              <m:r>
                <m:t>у</m:t>
              </m:r>
              <m:r>
                <m:t>л</m:t>
              </m:r>
              <m:r>
                <m:t>о</m:t>
              </m:r>
              <m:r>
                <m:t>г</m:t>
              </m:r>
              <m:r>
                <m:t>о</m:t>
              </m:r>
              <m:r>
                <m:t> </m:t>
              </m:r>
              <m:r>
                <m:t>р</m:t>
              </m:r>
              <m:r>
                <m:t>о</m:t>
              </m:r>
              <m:r>
                <m:t>к</m:t>
              </m:r>
              <m:r>
                <m:t>у</m:t>
              </m:r>
            </m:num>
            <m:den>
              <m:r>
                <m:t>В</m:t>
              </m:r>
              <m:r>
                <m:t>В</m:t>
              </m:r>
              <m:r>
                <m:t>П</m:t>
              </m:r>
              <m:r>
                <m:t> </m:t>
              </m:r>
              <m:r>
                <m:t>п</m:t>
              </m:r>
              <m:r>
                <m:t>о</m:t>
              </m:r>
              <m:r>
                <m:t>т</m:t>
              </m:r>
              <m:r>
                <m:t>о</m:t>
              </m:r>
              <m:r>
                <m:t>ч</m:t>
              </m:r>
              <m:r>
                <m:t>н</m:t>
              </m:r>
              <m:r>
                <m:t>о</m:t>
              </m:r>
              <m:r>
                <m:t>г</m:t>
              </m:r>
              <m:r>
                <m:t>о</m:t>
              </m:r>
              <m:r>
                <m:t> </m:t>
              </m:r>
              <m:r>
                <m:t>р</m:t>
              </m:r>
              <m:r>
                <m:t>о</m:t>
              </m:r>
              <m:r>
                <m:t>к</m:t>
              </m:r>
              <m:r>
                <m:t>у</m:t>
              </m:r>
            </m:den>
          </m:f>
        </m:oMath>
      </m:oMathPara>
    </w:p>
    <w:p>
      <w:pPr>
        <w:pStyle w:val="FirstParagraph"/>
      </w:pPr>
      <w:r>
        <w:t xml:space="preserve">Отже, ми створили в масиві необхідні для перевірки гіпотез змінні.</w:t>
      </w:r>
    </w:p>
    <w:p>
      <w:pPr>
        <w:pStyle w:val="Heading3"/>
      </w:pPr>
      <w:bookmarkStart w:id="50" w:name="-"/>
      <w:r>
        <w:t xml:space="preserve">Перевірка гіпотез</w:t>
      </w:r>
      <w:bookmarkEnd w:id="50"/>
    </w:p>
    <w:p>
      <w:pPr>
        <w:pStyle w:val="Heading3"/>
      </w:pPr>
      <w:bookmarkStart w:id="51" w:name="--"/>
      <w:r>
        <w:t xml:space="preserve">Усунення пливу трендів</w:t>
      </w:r>
      <w:bookmarkEnd w:id="51"/>
    </w:p>
    <w:p>
      <w:pPr>
        <w:pStyle w:val="FirstParagraph"/>
      </w:pPr>
      <w:r>
        <w:t xml:space="preserve">Отримані дані мають свою специфіку аналізу. Обчислені показники економічного досвіду респондентів є історично зумовленими. Ми маємо справу частково із</w:t>
      </w:r>
      <w:r>
        <w:t xml:space="preserve"> </w:t>
      </w:r>
      <w:r>
        <w:rPr>
          <w:b/>
        </w:rPr>
        <w:t xml:space="preserve">часовими рядами (time series)</w:t>
      </w:r>
      <w:r>
        <w:t xml:space="preserve">. Часові ряди мають наступні особливості:</w:t>
      </w:r>
    </w:p>
    <w:p>
      <w:pPr>
        <w:pStyle w:val="Compact"/>
        <w:numPr>
          <w:numId w:val="1022"/>
          <w:ilvl w:val="0"/>
        </w:numPr>
      </w:pPr>
      <w:r>
        <w:t xml:space="preserve">односторонність зв’язку (щось може залежати від часу, але не час від чогось іншого);</w:t>
      </w:r>
    </w:p>
    <w:p>
      <w:pPr>
        <w:pStyle w:val="Compact"/>
        <w:numPr>
          <w:numId w:val="1022"/>
          <w:ilvl w:val="0"/>
        </w:numPr>
      </w:pPr>
      <w:r>
        <w:t xml:space="preserve">наявність факторів тренду, сезонності, шуму, які при аналізі варто усувати.</w:t>
      </w:r>
    </w:p>
    <w:p>
      <w:pPr>
        <w:pStyle w:val="FirstParagraph"/>
      </w:pPr>
      <w:r>
        <w:t xml:space="preserve">Для визначення об’єктивного впливу частки років економічного росту людини на її цінності, потрібно переконатися, що ті змінні, через які ми перевіряємо наші гіпотези не місять часових зміщень.</w:t>
      </w:r>
    </w:p>
    <w:p>
      <w:pPr>
        <w:pStyle w:val="BodyText"/>
      </w:pPr>
      <w:r>
        <w:t xml:space="preserve">Найпростіший шлях - графічний аналіз для виявлення наявності лінійного тренду (чи циклічності) та розрахунок показників автокореляції.</w:t>
      </w:r>
    </w:p>
    <w:p>
      <w:pPr>
        <w:pStyle w:val="BodyText"/>
      </w:pPr>
      <w:r>
        <w:t xml:space="preserve">Для цінності консерватизму:</w:t>
      </w:r>
    </w:p>
    <w:p>
      <w:pPr>
        <w:pStyle w:val="BodyText"/>
      </w:pPr>
      <w:r>
        <w:t xml:space="preserve">Для економічного росту:</w:t>
      </w:r>
    </w:p>
    <w:p>
      <w:pPr>
        <w:pStyle w:val="BodyText"/>
      </w:pPr>
      <w:r>
        <w:t xml:space="preserve">З аналізу видно, що зв’язок між сусідніми роками дуже великий. Це спонукає нас перетворити змінні так, аби усунути лінійні тренди росту та падіння.</w:t>
      </w:r>
    </w:p>
    <w:p>
      <w:pPr>
        <w:pStyle w:val="BodyText"/>
      </w:pPr>
      <w:r>
        <w:t xml:space="preserve">Є різні способи усування лінійних трендів із часових рядів. Це можна зробити на основі плаваючого середнього чи лінії лінійної регресії. При цьому далі в аналізі використовуватимуться саме залишки таких моделей. Модель з плаваючим середнім на практиці виявилася не дуже зручною, оскільки за умов її використання перші і останні значенння часового ряду отримують значення</w:t>
      </w:r>
      <w:r>
        <w:t xml:space="preserve"> </w:t>
      </w:r>
      <w:r>
        <w:rPr>
          <w:b/>
        </w:rPr>
        <w:t xml:space="preserve">NA</w:t>
      </w:r>
      <w:r>
        <w:t xml:space="preserve"> </w:t>
      </w:r>
      <w:r>
        <w:t xml:space="preserve">(банально для моделі не вистачає спостережень, за якими можна зробити лінію плаваючого середнього).</w:t>
      </w:r>
    </w:p>
    <w:p>
      <w:pPr>
        <w:pStyle w:val="BodyText"/>
      </w:pPr>
      <w:r>
        <w:t xml:space="preserve">За великим рахунком наш аналіз став аналізом залишиків моделі цінностей та частки економічного росту з часом.</w:t>
      </w:r>
    </w:p>
    <w:p>
      <w:pPr>
        <w:pStyle w:val="Heading4"/>
      </w:pPr>
      <w:bookmarkStart w:id="52" w:name="----------"/>
      <w:r>
        <w:t xml:space="preserve">Аналіз взаємозв’язку років економічного росту, які пережила людина і її цінностей</w:t>
      </w:r>
      <w:bookmarkEnd w:id="52"/>
    </w:p>
    <w:p>
      <w:pPr>
        <w:pStyle w:val="FirstParagraph"/>
      </w:pPr>
      <w:r>
        <w:t xml:space="preserve">З кореляційного аналізу залишків показав, що взаємозв’язок між економічним ростом та цінностями слабкий. Це доволі прогнозовано, оскільки цінності детермінуються одночасно багатьма факторами, ми ж у своїй аналітичній роботі визначаємо, чи впливає економічний добробут суспільства в принципі хоч у малій мірі на цінності.</w:t>
      </w:r>
    </w:p>
    <w:p>
      <w:pPr>
        <w:pStyle w:val="BodyText"/>
      </w:pPr>
      <w:r>
        <w:t xml:space="preserve">З аналізу видно, що найбільш чутливим до економічного росту та спадів є Туреччина, де значення кореляції частки років економічного росту та самовдосконалення дорівнює -0.238 при довірчих інтервалах (-0.275457504; -0.199931526), а кореляція між часткою років економічного росту та консерватизмом дорівнює 0.268 з довірчими інтервалами (0.249106319; 0.322610783). Те, що Туреччина найбільше вирізняється з-поміж країн Європи - це не виглядає дивно через її особливості культури.</w:t>
      </w:r>
    </w:p>
    <w:tbl>
      <w:tblPr>
        <w:tblStyle w:val="Table"/>
        <w:tblW w:type="pct" w:w="0.0"/>
        <w:tblLook w:firstRow="1"/>
      </w:tblPr>
      <w:tblGrid/>
      <w:tr>
        <w:trPr>
          <w:cnfStyle w:firstRow="1"/>
        </w:trPr>
        <w:tc>
          <w:tcPr>
            <w:tcBorders>
              <w:bottom w:val="single"/>
            </w:tcBorders>
            <w:vAlign w:val="bottom"/>
          </w:tcPr>
          <w:p>
            <w:pPr>
              <w:pStyle w:val="Compact"/>
              <w:jc w:val="left"/>
            </w:pPr>
            <w:r>
              <w:t xml:space="preserve">cntry</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conf.low</w:t>
            </w:r>
          </w:p>
        </w:tc>
        <w:tc>
          <w:tcPr>
            <w:tcBorders>
              <w:bottom w:val="single"/>
            </w:tcBorders>
            <w:vAlign w:val="bottom"/>
          </w:tcPr>
          <w:p>
            <w:pPr>
              <w:pStyle w:val="Compact"/>
              <w:jc w:val="right"/>
            </w:pPr>
            <w:r>
              <w:t xml:space="preserve">conf.high</w:t>
            </w:r>
          </w:p>
        </w:tc>
      </w:tr>
      <w:tr>
        <w:tc>
          <w:p>
            <w:pPr>
              <w:pStyle w:val="Compact"/>
              <w:jc w:val="left"/>
            </w:pPr>
            <w:r>
              <w:t xml:space="preserve">Turkey</w:t>
            </w:r>
          </w:p>
        </w:tc>
        <w:tc>
          <w:p>
            <w:pPr>
              <w:pStyle w:val="Compact"/>
              <w:jc w:val="right"/>
            </w:pPr>
            <w:r>
              <w:t xml:space="preserve">-0.26</w:t>
            </w:r>
          </w:p>
        </w:tc>
        <w:tc>
          <w:p>
            <w:pPr>
              <w:pStyle w:val="Compact"/>
              <w:jc w:val="right"/>
            </w:pPr>
            <w:r>
              <w:t xml:space="preserve">-16.52</w:t>
            </w:r>
          </w:p>
        </w:tc>
        <w:tc>
          <w:p>
            <w:pPr>
              <w:pStyle w:val="Compact"/>
              <w:jc w:val="right"/>
            </w:pPr>
            <w:r>
              <w:t xml:space="preserve">0.00</w:t>
            </w:r>
          </w:p>
        </w:tc>
        <w:tc>
          <w:p>
            <w:pPr>
              <w:pStyle w:val="Compact"/>
              <w:jc w:val="right"/>
            </w:pPr>
            <w:r>
              <w:t xml:space="preserve">3692</w:t>
            </w:r>
          </w:p>
        </w:tc>
        <w:tc>
          <w:p>
            <w:pPr>
              <w:pStyle w:val="Compact"/>
              <w:jc w:val="right"/>
            </w:pPr>
            <w:r>
              <w:t xml:space="preserve">-0.29</w:t>
            </w:r>
          </w:p>
        </w:tc>
        <w:tc>
          <w:p>
            <w:pPr>
              <w:pStyle w:val="Compact"/>
              <w:jc w:val="right"/>
            </w:pPr>
            <w:r>
              <w:t xml:space="preserve">-0.23</w:t>
            </w:r>
          </w:p>
        </w:tc>
      </w:tr>
      <w:tr>
        <w:tc>
          <w:p>
            <w:pPr>
              <w:pStyle w:val="Compact"/>
              <w:jc w:val="left"/>
            </w:pPr>
            <w:r>
              <w:t xml:space="preserve">Albania</w:t>
            </w:r>
          </w:p>
        </w:tc>
        <w:tc>
          <w:p>
            <w:pPr>
              <w:pStyle w:val="Compact"/>
              <w:jc w:val="right"/>
            </w:pPr>
            <w:r>
              <w:t xml:space="preserve">-0.23</w:t>
            </w:r>
          </w:p>
        </w:tc>
        <w:tc>
          <w:p>
            <w:pPr>
              <w:pStyle w:val="Compact"/>
              <w:jc w:val="right"/>
            </w:pPr>
            <w:r>
              <w:t xml:space="preserve">-7.28</w:t>
            </w:r>
          </w:p>
        </w:tc>
        <w:tc>
          <w:p>
            <w:pPr>
              <w:pStyle w:val="Compact"/>
              <w:jc w:val="right"/>
            </w:pPr>
            <w:r>
              <w:t xml:space="preserve">0.00</w:t>
            </w:r>
          </w:p>
        </w:tc>
        <w:tc>
          <w:p>
            <w:pPr>
              <w:pStyle w:val="Compact"/>
              <w:jc w:val="right"/>
            </w:pPr>
            <w:r>
              <w:t xml:space="preserve">993</w:t>
            </w:r>
          </w:p>
        </w:tc>
        <w:tc>
          <w:p>
            <w:pPr>
              <w:pStyle w:val="Compact"/>
              <w:jc w:val="right"/>
            </w:pPr>
            <w:r>
              <w:t xml:space="preserve">-0.28</w:t>
            </w:r>
          </w:p>
        </w:tc>
        <w:tc>
          <w:p>
            <w:pPr>
              <w:pStyle w:val="Compact"/>
              <w:jc w:val="right"/>
            </w:pPr>
            <w:r>
              <w:t xml:space="preserve">-0.17</w:t>
            </w:r>
          </w:p>
        </w:tc>
      </w:tr>
      <w:tr>
        <w:tc>
          <w:p>
            <w:pPr>
              <w:pStyle w:val="Compact"/>
              <w:jc w:val="left"/>
            </w:pPr>
            <w:r>
              <w:t xml:space="preserve">Iceland</w:t>
            </w:r>
          </w:p>
        </w:tc>
        <w:tc>
          <w:p>
            <w:pPr>
              <w:pStyle w:val="Compact"/>
              <w:jc w:val="right"/>
            </w:pPr>
            <w:r>
              <w:t xml:space="preserve">0.17</w:t>
            </w:r>
          </w:p>
        </w:tc>
        <w:tc>
          <w:p>
            <w:pPr>
              <w:pStyle w:val="Compact"/>
              <w:jc w:val="right"/>
            </w:pPr>
            <w:r>
              <w:t xml:space="preserve">7.23</w:t>
            </w:r>
          </w:p>
        </w:tc>
        <w:tc>
          <w:p>
            <w:pPr>
              <w:pStyle w:val="Compact"/>
              <w:jc w:val="right"/>
            </w:pPr>
            <w:r>
              <w:t xml:space="preserve">0.00</w:t>
            </w:r>
          </w:p>
        </w:tc>
        <w:tc>
          <w:p>
            <w:pPr>
              <w:pStyle w:val="Compact"/>
              <w:jc w:val="right"/>
            </w:pPr>
            <w:r>
              <w:t xml:space="preserve">1853</w:t>
            </w:r>
          </w:p>
        </w:tc>
        <w:tc>
          <w:p>
            <w:pPr>
              <w:pStyle w:val="Compact"/>
              <w:jc w:val="right"/>
            </w:pPr>
            <w:r>
              <w:t xml:space="preserve">0.12</w:t>
            </w:r>
          </w:p>
        </w:tc>
        <w:tc>
          <w:p>
            <w:pPr>
              <w:pStyle w:val="Compact"/>
              <w:jc w:val="right"/>
            </w:pPr>
            <w:r>
              <w:t xml:space="preserve">0.21</w:t>
            </w:r>
          </w:p>
        </w:tc>
      </w:tr>
      <w:tr>
        <w:tc>
          <w:p>
            <w:pPr>
              <w:pStyle w:val="Compact"/>
              <w:jc w:val="left"/>
            </w:pPr>
            <w:r>
              <w:t xml:space="preserve">Portugal</w:t>
            </w:r>
          </w:p>
        </w:tc>
        <w:tc>
          <w:p>
            <w:pPr>
              <w:pStyle w:val="Compact"/>
              <w:jc w:val="right"/>
            </w:pPr>
            <w:r>
              <w:t xml:space="preserve">-0.17</w:t>
            </w:r>
          </w:p>
        </w:tc>
        <w:tc>
          <w:p>
            <w:pPr>
              <w:pStyle w:val="Compact"/>
              <w:jc w:val="right"/>
            </w:pPr>
            <w:r>
              <w:t xml:space="preserve">-18.89</w:t>
            </w:r>
          </w:p>
        </w:tc>
        <w:tc>
          <w:p>
            <w:pPr>
              <w:pStyle w:val="Compact"/>
              <w:jc w:val="right"/>
            </w:pPr>
            <w:r>
              <w:t xml:space="preserve">0.00</w:t>
            </w:r>
          </w:p>
        </w:tc>
        <w:tc>
          <w:p>
            <w:pPr>
              <w:pStyle w:val="Compact"/>
              <w:jc w:val="right"/>
            </w:pPr>
            <w:r>
              <w:t xml:space="preserve">12069</w:t>
            </w:r>
          </w:p>
        </w:tc>
        <w:tc>
          <w:p>
            <w:pPr>
              <w:pStyle w:val="Compact"/>
              <w:jc w:val="right"/>
            </w:pPr>
            <w:r>
              <w:t xml:space="preserve">-0.19</w:t>
            </w:r>
          </w:p>
        </w:tc>
        <w:tc>
          <w:p>
            <w:pPr>
              <w:pStyle w:val="Compact"/>
              <w:jc w:val="right"/>
            </w:pPr>
            <w:r>
              <w:t xml:space="preserve">-0.15</w:t>
            </w:r>
          </w:p>
        </w:tc>
      </w:tr>
      <w:tr>
        <w:tc>
          <w:p>
            <w:pPr>
              <w:pStyle w:val="Compact"/>
              <w:jc w:val="left"/>
            </w:pPr>
            <w:r>
              <w:t xml:space="preserve">Romania</w:t>
            </w:r>
          </w:p>
        </w:tc>
        <w:tc>
          <w:p>
            <w:pPr>
              <w:pStyle w:val="Compact"/>
              <w:jc w:val="right"/>
            </w:pPr>
            <w:r>
              <w:t xml:space="preserve">-0.16</w:t>
            </w:r>
          </w:p>
        </w:tc>
        <w:tc>
          <w:p>
            <w:pPr>
              <w:pStyle w:val="Compact"/>
              <w:jc w:val="right"/>
            </w:pPr>
            <w:r>
              <w:t xml:space="preserve">-6.91</w:t>
            </w:r>
          </w:p>
        </w:tc>
        <w:tc>
          <w:p>
            <w:pPr>
              <w:pStyle w:val="Compact"/>
              <w:jc w:val="right"/>
            </w:pPr>
            <w:r>
              <w:t xml:space="preserve">0.00</w:t>
            </w:r>
          </w:p>
        </w:tc>
        <w:tc>
          <w:p>
            <w:pPr>
              <w:pStyle w:val="Compact"/>
              <w:jc w:val="right"/>
            </w:pPr>
            <w:r>
              <w:t xml:space="preserve">1882</w:t>
            </w:r>
          </w:p>
        </w:tc>
        <w:tc>
          <w:p>
            <w:pPr>
              <w:pStyle w:val="Compact"/>
              <w:jc w:val="right"/>
            </w:pPr>
            <w:r>
              <w:t xml:space="preserve">-0.20</w:t>
            </w:r>
          </w:p>
        </w:tc>
        <w:tc>
          <w:p>
            <w:pPr>
              <w:pStyle w:val="Compact"/>
              <w:jc w:val="right"/>
            </w:pPr>
            <w:r>
              <w:t xml:space="preserve">-0.11</w:t>
            </w:r>
          </w:p>
        </w:tc>
      </w:tr>
      <w:tr>
        <w:tc>
          <w:p>
            <w:pPr>
              <w:pStyle w:val="Compact"/>
              <w:jc w:val="left"/>
            </w:pPr>
            <w:r>
              <w:t xml:space="preserve">Spain</w:t>
            </w:r>
          </w:p>
        </w:tc>
        <w:tc>
          <w:p>
            <w:pPr>
              <w:pStyle w:val="Compact"/>
              <w:jc w:val="right"/>
            </w:pPr>
            <w:r>
              <w:t xml:space="preserve">-0.16</w:t>
            </w:r>
          </w:p>
        </w:tc>
        <w:tc>
          <w:p>
            <w:pPr>
              <w:pStyle w:val="Compact"/>
              <w:jc w:val="right"/>
            </w:pPr>
            <w:r>
              <w:t xml:space="preserve">-17.14</w:t>
            </w:r>
          </w:p>
        </w:tc>
        <w:tc>
          <w:p>
            <w:pPr>
              <w:pStyle w:val="Compact"/>
              <w:jc w:val="right"/>
            </w:pPr>
            <w:r>
              <w:t xml:space="preserve">0.00</w:t>
            </w:r>
          </w:p>
        </w:tc>
        <w:tc>
          <w:p>
            <w:pPr>
              <w:pStyle w:val="Compact"/>
              <w:jc w:val="right"/>
            </w:pPr>
            <w:r>
              <w:t xml:space="preserve">11594</w:t>
            </w:r>
          </w:p>
        </w:tc>
        <w:tc>
          <w:p>
            <w:pPr>
              <w:pStyle w:val="Compact"/>
              <w:jc w:val="right"/>
            </w:pPr>
            <w:r>
              <w:t xml:space="preserve">-0.17</w:t>
            </w:r>
          </w:p>
        </w:tc>
        <w:tc>
          <w:p>
            <w:pPr>
              <w:pStyle w:val="Compact"/>
              <w:jc w:val="right"/>
            </w:pPr>
            <w:r>
              <w:t xml:space="preserve">-0.14</w:t>
            </w:r>
          </w:p>
        </w:tc>
      </w:tr>
      <w:tr>
        <w:tc>
          <w:p>
            <w:pPr>
              <w:pStyle w:val="Compact"/>
              <w:jc w:val="left"/>
            </w:pPr>
            <w:r>
              <w:t xml:space="preserve">Greece</w:t>
            </w:r>
          </w:p>
        </w:tc>
        <w:tc>
          <w:p>
            <w:pPr>
              <w:pStyle w:val="Compact"/>
              <w:jc w:val="right"/>
            </w:pPr>
            <w:r>
              <w:t xml:space="preserve">-0.11</w:t>
            </w:r>
          </w:p>
        </w:tc>
        <w:tc>
          <w:p>
            <w:pPr>
              <w:pStyle w:val="Compact"/>
              <w:jc w:val="right"/>
            </w:pPr>
            <w:r>
              <w:t xml:space="preserve">-9.88</w:t>
            </w:r>
          </w:p>
        </w:tc>
        <w:tc>
          <w:p>
            <w:pPr>
              <w:pStyle w:val="Compact"/>
              <w:jc w:val="right"/>
            </w:pPr>
            <w:r>
              <w:t xml:space="preserve">0.00</w:t>
            </w:r>
          </w:p>
        </w:tc>
        <w:tc>
          <w:p>
            <w:pPr>
              <w:pStyle w:val="Compact"/>
              <w:jc w:val="right"/>
            </w:pPr>
            <w:r>
              <w:t xml:space="preserve">8561</w:t>
            </w:r>
          </w:p>
        </w:tc>
        <w:tc>
          <w:p>
            <w:pPr>
              <w:pStyle w:val="Compact"/>
              <w:jc w:val="right"/>
            </w:pPr>
            <w:r>
              <w:t xml:space="preserve">-0.13</w:t>
            </w:r>
          </w:p>
        </w:tc>
        <w:tc>
          <w:p>
            <w:pPr>
              <w:pStyle w:val="Compact"/>
              <w:jc w:val="right"/>
            </w:pPr>
            <w:r>
              <w:t xml:space="preserve">-0.09</w:t>
            </w:r>
          </w:p>
        </w:tc>
      </w:tr>
      <w:tr>
        <w:tc>
          <w:p>
            <w:pPr>
              <w:pStyle w:val="Compact"/>
              <w:jc w:val="left"/>
            </w:pPr>
            <w:r>
              <w:t xml:space="preserve">Estonia</w:t>
            </w:r>
          </w:p>
        </w:tc>
        <w:tc>
          <w:p>
            <w:pPr>
              <w:pStyle w:val="Compact"/>
              <w:jc w:val="right"/>
            </w:pPr>
            <w:r>
              <w:t xml:space="preserve">0.10</w:t>
            </w:r>
          </w:p>
        </w:tc>
        <w:tc>
          <w:p>
            <w:pPr>
              <w:pStyle w:val="Compact"/>
              <w:jc w:val="right"/>
            </w:pPr>
            <w:r>
              <w:t xml:space="preserve">9.75</w:t>
            </w:r>
          </w:p>
        </w:tc>
        <w:tc>
          <w:p>
            <w:pPr>
              <w:pStyle w:val="Compact"/>
              <w:jc w:val="right"/>
            </w:pPr>
            <w:r>
              <w:t xml:space="preserve">0.00</w:t>
            </w:r>
          </w:p>
        </w:tc>
        <w:tc>
          <w:p>
            <w:pPr>
              <w:pStyle w:val="Compact"/>
              <w:jc w:val="right"/>
            </w:pPr>
            <w:r>
              <w:t xml:space="preserve">10389</w:t>
            </w:r>
          </w:p>
        </w:tc>
        <w:tc>
          <w:p>
            <w:pPr>
              <w:pStyle w:val="Compact"/>
              <w:jc w:val="right"/>
            </w:pPr>
            <w:r>
              <w:t xml:space="preserve">0.08</w:t>
            </w:r>
          </w:p>
        </w:tc>
        <w:tc>
          <w:p>
            <w:pPr>
              <w:pStyle w:val="Compact"/>
              <w:jc w:val="right"/>
            </w:pPr>
            <w:r>
              <w:t xml:space="preserve">0.11</w:t>
            </w:r>
          </w:p>
        </w:tc>
      </w:tr>
      <w:tr>
        <w:tc>
          <w:p>
            <w:pPr>
              <w:pStyle w:val="Compact"/>
              <w:jc w:val="left"/>
            </w:pPr>
            <w:r>
              <w:t xml:space="preserve">Netherlands</w:t>
            </w:r>
          </w:p>
        </w:tc>
        <w:tc>
          <w:p>
            <w:pPr>
              <w:pStyle w:val="Compact"/>
              <w:jc w:val="right"/>
            </w:pPr>
            <w:r>
              <w:t xml:space="preserve">0.09</w:t>
            </w:r>
          </w:p>
        </w:tc>
        <w:tc>
          <w:p>
            <w:pPr>
              <w:pStyle w:val="Compact"/>
              <w:jc w:val="right"/>
            </w:pPr>
            <w:r>
              <w:t xml:space="preserve">10.63</w:t>
            </w:r>
          </w:p>
        </w:tc>
        <w:tc>
          <w:p>
            <w:pPr>
              <w:pStyle w:val="Compact"/>
              <w:jc w:val="right"/>
            </w:pPr>
            <w:r>
              <w:t xml:space="preserve">0.00</w:t>
            </w:r>
          </w:p>
        </w:tc>
        <w:tc>
          <w:p>
            <w:pPr>
              <w:pStyle w:val="Compact"/>
              <w:jc w:val="right"/>
            </w:pPr>
            <w:r>
              <w:t xml:space="preserve">13179</w:t>
            </w:r>
          </w:p>
        </w:tc>
        <w:tc>
          <w:p>
            <w:pPr>
              <w:pStyle w:val="Compact"/>
              <w:jc w:val="right"/>
            </w:pPr>
            <w:r>
              <w:t xml:space="preserve">0.08</w:t>
            </w:r>
          </w:p>
        </w:tc>
        <w:tc>
          <w:p>
            <w:pPr>
              <w:pStyle w:val="Compact"/>
              <w:jc w:val="right"/>
            </w:pPr>
            <w:r>
              <w:t xml:space="preserve">0.11</w:t>
            </w:r>
          </w:p>
        </w:tc>
      </w:tr>
      <w:tr>
        <w:tc>
          <w:p>
            <w:pPr>
              <w:pStyle w:val="Compact"/>
              <w:jc w:val="left"/>
            </w:pPr>
            <w:r>
              <w:t xml:space="preserve">Denmark</w:t>
            </w:r>
          </w:p>
        </w:tc>
        <w:tc>
          <w:p>
            <w:pPr>
              <w:pStyle w:val="Compact"/>
              <w:jc w:val="right"/>
            </w:pPr>
            <w:r>
              <w:t xml:space="preserve">0.08</w:t>
            </w:r>
          </w:p>
        </w:tc>
        <w:tc>
          <w:p>
            <w:pPr>
              <w:pStyle w:val="Compact"/>
              <w:jc w:val="right"/>
            </w:pPr>
            <w:r>
              <w:t xml:space="preserve">7.82</w:t>
            </w:r>
          </w:p>
        </w:tc>
        <w:tc>
          <w:p>
            <w:pPr>
              <w:pStyle w:val="Compact"/>
              <w:jc w:val="right"/>
            </w:pPr>
            <w:r>
              <w:t xml:space="preserve">0.00</w:t>
            </w:r>
          </w:p>
        </w:tc>
        <w:tc>
          <w:p>
            <w:pPr>
              <w:pStyle w:val="Compact"/>
              <w:jc w:val="right"/>
            </w:pPr>
            <w:r>
              <w:t xml:space="preserve">9489</w:t>
            </w:r>
          </w:p>
        </w:tc>
        <w:tc>
          <w:p>
            <w:pPr>
              <w:pStyle w:val="Compact"/>
              <w:jc w:val="right"/>
            </w:pPr>
            <w:r>
              <w:t xml:space="preserve">0.06</w:t>
            </w:r>
          </w:p>
        </w:tc>
        <w:tc>
          <w:p>
            <w:pPr>
              <w:pStyle w:val="Compact"/>
              <w:jc w:val="right"/>
            </w:pPr>
            <w:r>
              <w:t xml:space="preserve">0.10</w:t>
            </w:r>
          </w:p>
        </w:tc>
      </w:tr>
      <w:tr>
        <w:tc>
          <w:p>
            <w:pPr>
              <w:pStyle w:val="Compact"/>
              <w:jc w:val="left"/>
            </w:pPr>
            <w:r>
              <w:t xml:space="preserve">Germany</w:t>
            </w:r>
          </w:p>
        </w:tc>
        <w:tc>
          <w:p>
            <w:pPr>
              <w:pStyle w:val="Compact"/>
              <w:jc w:val="right"/>
            </w:pPr>
            <w:r>
              <w:t xml:space="preserve">0.08</w:t>
            </w:r>
          </w:p>
        </w:tc>
        <w:tc>
          <w:p>
            <w:pPr>
              <w:pStyle w:val="Compact"/>
              <w:jc w:val="right"/>
            </w:pPr>
            <w:r>
              <w:t xml:space="preserve">11.13</w:t>
            </w:r>
          </w:p>
        </w:tc>
        <w:tc>
          <w:p>
            <w:pPr>
              <w:pStyle w:val="Compact"/>
              <w:jc w:val="right"/>
            </w:pPr>
            <w:r>
              <w:t xml:space="preserve">0.00</w:t>
            </w:r>
          </w:p>
        </w:tc>
        <w:tc>
          <w:p>
            <w:pPr>
              <w:pStyle w:val="Compact"/>
              <w:jc w:val="right"/>
            </w:pPr>
            <w:r>
              <w:t xml:space="preserve">20078</w:t>
            </w:r>
          </w:p>
        </w:tc>
        <w:tc>
          <w:p>
            <w:pPr>
              <w:pStyle w:val="Compact"/>
              <w:jc w:val="right"/>
            </w:pPr>
            <w:r>
              <w:t xml:space="preserve">0.06</w:t>
            </w:r>
          </w:p>
        </w:tc>
        <w:tc>
          <w:p>
            <w:pPr>
              <w:pStyle w:val="Compact"/>
              <w:jc w:val="right"/>
            </w:pPr>
            <w:r>
              <w:t xml:space="preserve">0.09</w:t>
            </w:r>
          </w:p>
        </w:tc>
      </w:tr>
      <w:tr>
        <w:tc>
          <w:p>
            <w:pPr>
              <w:pStyle w:val="Compact"/>
              <w:jc w:val="left"/>
            </w:pPr>
            <w:r>
              <w:t xml:space="preserve">Bulgaria</w:t>
            </w:r>
          </w:p>
        </w:tc>
        <w:tc>
          <w:p>
            <w:pPr>
              <w:pStyle w:val="Compact"/>
              <w:jc w:val="right"/>
            </w:pPr>
            <w:r>
              <w:t xml:space="preserve">-0.07</w:t>
            </w:r>
          </w:p>
        </w:tc>
        <w:tc>
          <w:p>
            <w:pPr>
              <w:pStyle w:val="Compact"/>
              <w:jc w:val="right"/>
            </w:pPr>
            <w:r>
              <w:t xml:space="preserve">-5.66</w:t>
            </w:r>
          </w:p>
        </w:tc>
        <w:tc>
          <w:p>
            <w:pPr>
              <w:pStyle w:val="Compact"/>
              <w:jc w:val="right"/>
            </w:pPr>
            <w:r>
              <w:t xml:space="preserve">0.00</w:t>
            </w:r>
          </w:p>
        </w:tc>
        <w:tc>
          <w:p>
            <w:pPr>
              <w:pStyle w:val="Compact"/>
              <w:jc w:val="right"/>
            </w:pPr>
            <w:r>
              <w:t xml:space="preserve">6928</w:t>
            </w:r>
          </w:p>
        </w:tc>
        <w:tc>
          <w:p>
            <w:pPr>
              <w:pStyle w:val="Compact"/>
              <w:jc w:val="right"/>
            </w:pPr>
            <w:r>
              <w:t xml:space="preserve">-0.09</w:t>
            </w:r>
          </w:p>
        </w:tc>
        <w:tc>
          <w:p>
            <w:pPr>
              <w:pStyle w:val="Compact"/>
              <w:jc w:val="right"/>
            </w:pPr>
            <w:r>
              <w:t xml:space="preserve">-0.04</w:t>
            </w:r>
          </w:p>
        </w:tc>
      </w:tr>
      <w:tr>
        <w:tc>
          <w:p>
            <w:pPr>
              <w:pStyle w:val="Compact"/>
              <w:jc w:val="left"/>
            </w:pPr>
            <w:r>
              <w:t xml:space="preserve">Russian Federation</w:t>
            </w:r>
          </w:p>
        </w:tc>
        <w:tc>
          <w:p>
            <w:pPr>
              <w:pStyle w:val="Compact"/>
              <w:jc w:val="right"/>
            </w:pPr>
            <w:r>
              <w:t xml:space="preserve">0.07</w:t>
            </w:r>
          </w:p>
        </w:tc>
        <w:tc>
          <w:p>
            <w:pPr>
              <w:pStyle w:val="Compact"/>
              <w:jc w:val="right"/>
            </w:pPr>
            <w:r>
              <w:t xml:space="preserve">7.24</w:t>
            </w:r>
          </w:p>
        </w:tc>
        <w:tc>
          <w:p>
            <w:pPr>
              <w:pStyle w:val="Compact"/>
              <w:jc w:val="right"/>
            </w:pPr>
            <w:r>
              <w:t xml:space="preserve">0.00</w:t>
            </w:r>
          </w:p>
        </w:tc>
        <w:tc>
          <w:p>
            <w:pPr>
              <w:pStyle w:val="Compact"/>
              <w:jc w:val="right"/>
            </w:pPr>
            <w:r>
              <w:t xml:space="preserve">10061</w:t>
            </w:r>
          </w:p>
        </w:tc>
        <w:tc>
          <w:p>
            <w:pPr>
              <w:pStyle w:val="Compact"/>
              <w:jc w:val="right"/>
            </w:pPr>
            <w:r>
              <w:t xml:space="preserve">0.05</w:t>
            </w:r>
          </w:p>
        </w:tc>
        <w:tc>
          <w:p>
            <w:pPr>
              <w:pStyle w:val="Compact"/>
              <w:jc w:val="right"/>
            </w:pPr>
            <w:r>
              <w:t xml:space="preserve">0.09</w:t>
            </w:r>
          </w:p>
        </w:tc>
      </w:tr>
      <w:tr>
        <w:tc>
          <w:p>
            <w:pPr>
              <w:pStyle w:val="Compact"/>
              <w:jc w:val="left"/>
            </w:pPr>
            <w:r>
              <w:t xml:space="preserve">Slovenia</w:t>
            </w:r>
          </w:p>
        </w:tc>
        <w:tc>
          <w:p>
            <w:pPr>
              <w:pStyle w:val="Compact"/>
              <w:jc w:val="right"/>
            </w:pPr>
            <w:r>
              <w:t xml:space="preserve">-0.07</w:t>
            </w:r>
          </w:p>
        </w:tc>
        <w:tc>
          <w:p>
            <w:pPr>
              <w:pStyle w:val="Compact"/>
              <w:jc w:val="right"/>
            </w:pPr>
            <w:r>
              <w:t xml:space="preserve">-6.46</w:t>
            </w:r>
          </w:p>
        </w:tc>
        <w:tc>
          <w:p>
            <w:pPr>
              <w:pStyle w:val="Compact"/>
              <w:jc w:val="right"/>
            </w:pPr>
            <w:r>
              <w:t xml:space="preserve">0.00</w:t>
            </w:r>
          </w:p>
        </w:tc>
        <w:tc>
          <w:p>
            <w:pPr>
              <w:pStyle w:val="Compact"/>
              <w:jc w:val="right"/>
            </w:pPr>
            <w:r>
              <w:t xml:space="preserve">9352</w:t>
            </w:r>
          </w:p>
        </w:tc>
        <w:tc>
          <w:p>
            <w:pPr>
              <w:pStyle w:val="Compact"/>
              <w:jc w:val="right"/>
            </w:pPr>
            <w:r>
              <w:t xml:space="preserve">-0.09</w:t>
            </w:r>
          </w:p>
        </w:tc>
        <w:tc>
          <w:p>
            <w:pPr>
              <w:pStyle w:val="Compact"/>
              <w:jc w:val="right"/>
            </w:pPr>
            <w:r>
              <w:t xml:space="preserve">-0.05</w:t>
            </w:r>
          </w:p>
        </w:tc>
      </w:tr>
      <w:tr>
        <w:tc>
          <w:p>
            <w:pPr>
              <w:pStyle w:val="Compact"/>
              <w:jc w:val="left"/>
            </w:pPr>
            <w:r>
              <w:t xml:space="preserve">Croatia</w:t>
            </w:r>
          </w:p>
        </w:tc>
        <w:tc>
          <w:p>
            <w:pPr>
              <w:pStyle w:val="Compact"/>
              <w:jc w:val="right"/>
            </w:pPr>
            <w:r>
              <w:t xml:space="preserve">-0.06</w:t>
            </w:r>
          </w:p>
        </w:tc>
        <w:tc>
          <w:p>
            <w:pPr>
              <w:pStyle w:val="Compact"/>
              <w:jc w:val="right"/>
            </w:pPr>
            <w:r>
              <w:t xml:space="preserve">-2.85</w:t>
            </w:r>
          </w:p>
        </w:tc>
        <w:tc>
          <w:p>
            <w:pPr>
              <w:pStyle w:val="Compact"/>
              <w:jc w:val="right"/>
            </w:pPr>
            <w:r>
              <w:t xml:space="preserve">0.00</w:t>
            </w:r>
          </w:p>
        </w:tc>
        <w:tc>
          <w:p>
            <w:pPr>
              <w:pStyle w:val="Compact"/>
              <w:jc w:val="right"/>
            </w:pPr>
            <w:r>
              <w:t xml:space="preserve">2445</w:t>
            </w:r>
          </w:p>
        </w:tc>
        <w:tc>
          <w:p>
            <w:pPr>
              <w:pStyle w:val="Compact"/>
              <w:jc w:val="right"/>
            </w:pPr>
            <w:r>
              <w:t xml:space="preserve">-0.10</w:t>
            </w:r>
          </w:p>
        </w:tc>
        <w:tc>
          <w:p>
            <w:pPr>
              <w:pStyle w:val="Compact"/>
              <w:jc w:val="right"/>
            </w:pPr>
            <w:r>
              <w:t xml:space="preserve">-0.02</w:t>
            </w:r>
          </w:p>
        </w:tc>
      </w:tr>
      <w:tr>
        <w:tc>
          <w:p>
            <w:pPr>
              <w:pStyle w:val="Compact"/>
              <w:jc w:val="left"/>
            </w:pPr>
            <w:r>
              <w:t xml:space="preserve">Italy</w:t>
            </w:r>
          </w:p>
        </w:tc>
        <w:tc>
          <w:p>
            <w:pPr>
              <w:pStyle w:val="Compact"/>
              <w:jc w:val="right"/>
            </w:pPr>
            <w:r>
              <w:t xml:space="preserve">-0.06</w:t>
            </w:r>
          </w:p>
        </w:tc>
        <w:tc>
          <w:p>
            <w:pPr>
              <w:pStyle w:val="Compact"/>
              <w:jc w:val="right"/>
            </w:pPr>
            <w:r>
              <w:t xml:space="preserve">-1.68</w:t>
            </w:r>
          </w:p>
        </w:tc>
        <w:tc>
          <w:p>
            <w:pPr>
              <w:pStyle w:val="Compact"/>
              <w:jc w:val="right"/>
            </w:pPr>
            <w:r>
              <w:t xml:space="preserve">0.09</w:t>
            </w:r>
          </w:p>
        </w:tc>
        <w:tc>
          <w:p>
            <w:pPr>
              <w:pStyle w:val="Compact"/>
              <w:jc w:val="right"/>
            </w:pPr>
            <w:r>
              <w:t xml:space="preserve">738</w:t>
            </w:r>
          </w:p>
        </w:tc>
        <w:tc>
          <w:p>
            <w:pPr>
              <w:pStyle w:val="Compact"/>
              <w:jc w:val="right"/>
            </w:pPr>
            <w:r>
              <w:t xml:space="preserve">-0.13</w:t>
            </w:r>
          </w:p>
        </w:tc>
        <w:tc>
          <w:p>
            <w:pPr>
              <w:pStyle w:val="Compact"/>
              <w:jc w:val="right"/>
            </w:pPr>
            <w:r>
              <w:t xml:space="preserve">0.01</w:t>
            </w:r>
          </w:p>
        </w:tc>
      </w:tr>
      <w:tr>
        <w:tc>
          <w:p>
            <w:pPr>
              <w:pStyle w:val="Compact"/>
              <w:jc w:val="left"/>
            </w:pPr>
            <w:r>
              <w:t xml:space="preserve">Lithuania</w:t>
            </w:r>
          </w:p>
        </w:tc>
        <w:tc>
          <w:p>
            <w:pPr>
              <w:pStyle w:val="Compact"/>
              <w:jc w:val="right"/>
            </w:pPr>
            <w:r>
              <w:t xml:space="preserve">-0.06</w:t>
            </w:r>
          </w:p>
        </w:tc>
        <w:tc>
          <w:p>
            <w:pPr>
              <w:pStyle w:val="Compact"/>
              <w:jc w:val="right"/>
            </w:pPr>
            <w:r>
              <w:t xml:space="preserve">-4.49</w:t>
            </w:r>
          </w:p>
        </w:tc>
        <w:tc>
          <w:p>
            <w:pPr>
              <w:pStyle w:val="Compact"/>
              <w:jc w:val="right"/>
            </w:pPr>
            <w:r>
              <w:t xml:space="preserve">0.00</w:t>
            </w:r>
          </w:p>
        </w:tc>
        <w:tc>
          <w:p>
            <w:pPr>
              <w:pStyle w:val="Compact"/>
              <w:jc w:val="right"/>
            </w:pPr>
            <w:r>
              <w:t xml:space="preserve">5490</w:t>
            </w:r>
          </w:p>
        </w:tc>
        <w:tc>
          <w:p>
            <w:pPr>
              <w:pStyle w:val="Compact"/>
              <w:jc w:val="right"/>
            </w:pPr>
            <w:r>
              <w:t xml:space="preserve">-0.09</w:t>
            </w:r>
          </w:p>
        </w:tc>
        <w:tc>
          <w:p>
            <w:pPr>
              <w:pStyle w:val="Compact"/>
              <w:jc w:val="right"/>
            </w:pPr>
            <w:r>
              <w:t xml:space="preserve">-0.03</w:t>
            </w:r>
          </w:p>
        </w:tc>
      </w:tr>
      <w:tr>
        <w:tc>
          <w:p>
            <w:pPr>
              <w:pStyle w:val="Compact"/>
              <w:jc w:val="left"/>
            </w:pPr>
            <w:r>
              <w:t xml:space="preserve">United Kingdom</w:t>
            </w:r>
          </w:p>
        </w:tc>
        <w:tc>
          <w:p>
            <w:pPr>
              <w:pStyle w:val="Compact"/>
              <w:jc w:val="right"/>
            </w:pPr>
            <w:r>
              <w:t xml:space="preserve">0.06</w:t>
            </w:r>
          </w:p>
        </w:tc>
        <w:tc>
          <w:p>
            <w:pPr>
              <w:pStyle w:val="Compact"/>
              <w:jc w:val="right"/>
            </w:pPr>
            <w:r>
              <w:t xml:space="preserve">7.81</w:t>
            </w:r>
          </w:p>
        </w:tc>
        <w:tc>
          <w:p>
            <w:pPr>
              <w:pStyle w:val="Compact"/>
              <w:jc w:val="right"/>
            </w:pPr>
            <w:r>
              <w:t xml:space="preserve">0.00</w:t>
            </w:r>
          </w:p>
        </w:tc>
        <w:tc>
          <w:p>
            <w:pPr>
              <w:pStyle w:val="Compact"/>
              <w:jc w:val="right"/>
            </w:pPr>
            <w:r>
              <w:t xml:space="preserve">14615</w:t>
            </w:r>
          </w:p>
        </w:tc>
        <w:tc>
          <w:p>
            <w:pPr>
              <w:pStyle w:val="Compact"/>
              <w:jc w:val="right"/>
            </w:pPr>
            <w:r>
              <w:t xml:space="preserve">0.05</w:t>
            </w:r>
          </w:p>
        </w:tc>
        <w:tc>
          <w:p>
            <w:pPr>
              <w:pStyle w:val="Compact"/>
              <w:jc w:val="right"/>
            </w:pPr>
            <w:r>
              <w:t xml:space="preserve">0.08</w:t>
            </w:r>
          </w:p>
        </w:tc>
      </w:tr>
      <w:tr>
        <w:tc>
          <w:p>
            <w:pPr>
              <w:pStyle w:val="Compact"/>
              <w:jc w:val="left"/>
            </w:pPr>
            <w:r>
              <w:t xml:space="preserve">Belgium</w:t>
            </w:r>
          </w:p>
        </w:tc>
        <w:tc>
          <w:p>
            <w:pPr>
              <w:pStyle w:val="Compact"/>
              <w:jc w:val="right"/>
            </w:pPr>
            <w:r>
              <w:t xml:space="preserve">0.05</w:t>
            </w:r>
          </w:p>
        </w:tc>
        <w:tc>
          <w:p>
            <w:pPr>
              <w:pStyle w:val="Compact"/>
              <w:jc w:val="right"/>
            </w:pPr>
            <w:r>
              <w:t xml:space="preserve">5.50</w:t>
            </w:r>
          </w:p>
        </w:tc>
        <w:tc>
          <w:p>
            <w:pPr>
              <w:pStyle w:val="Compact"/>
              <w:jc w:val="right"/>
            </w:pPr>
            <w:r>
              <w:t xml:space="preserve">0.00</w:t>
            </w:r>
          </w:p>
        </w:tc>
        <w:tc>
          <w:p>
            <w:pPr>
              <w:pStyle w:val="Compact"/>
              <w:jc w:val="right"/>
            </w:pPr>
            <w:r>
              <w:t xml:space="preserve">12337</w:t>
            </w:r>
          </w:p>
        </w:tc>
        <w:tc>
          <w:p>
            <w:pPr>
              <w:pStyle w:val="Compact"/>
              <w:jc w:val="right"/>
            </w:pPr>
            <w:r>
              <w:t xml:space="preserve">0.03</w:t>
            </w:r>
          </w:p>
        </w:tc>
        <w:tc>
          <w:p>
            <w:pPr>
              <w:pStyle w:val="Compact"/>
              <w:jc w:val="right"/>
            </w:pPr>
            <w:r>
              <w:t xml:space="preserve">0.07</w:t>
            </w:r>
          </w:p>
        </w:tc>
      </w:tr>
      <w:tr>
        <w:tc>
          <w:p>
            <w:pPr>
              <w:pStyle w:val="Compact"/>
              <w:jc w:val="left"/>
            </w:pPr>
            <w:r>
              <w:t xml:space="preserve">Ireland</w:t>
            </w:r>
          </w:p>
        </w:tc>
        <w:tc>
          <w:p>
            <w:pPr>
              <w:pStyle w:val="Compact"/>
              <w:jc w:val="right"/>
            </w:pPr>
            <w:r>
              <w:t xml:space="preserve">0.05</w:t>
            </w:r>
          </w:p>
        </w:tc>
        <w:tc>
          <w:p>
            <w:pPr>
              <w:pStyle w:val="Compact"/>
              <w:jc w:val="right"/>
            </w:pPr>
            <w:r>
              <w:t xml:space="preserve">5.58</w:t>
            </w:r>
          </w:p>
        </w:tc>
        <w:tc>
          <w:p>
            <w:pPr>
              <w:pStyle w:val="Compact"/>
              <w:jc w:val="right"/>
            </w:pPr>
            <w:r>
              <w:t xml:space="preserve">0.00</w:t>
            </w:r>
          </w:p>
        </w:tc>
        <w:tc>
          <w:p>
            <w:pPr>
              <w:pStyle w:val="Compact"/>
              <w:jc w:val="right"/>
            </w:pPr>
            <w:r>
              <w:t xml:space="preserve">13236</w:t>
            </w:r>
          </w:p>
        </w:tc>
        <w:tc>
          <w:p>
            <w:pPr>
              <w:pStyle w:val="Compact"/>
              <w:jc w:val="right"/>
            </w:pPr>
            <w:r>
              <w:t xml:space="preserve">0.03</w:t>
            </w:r>
          </w:p>
        </w:tc>
        <w:tc>
          <w:p>
            <w:pPr>
              <w:pStyle w:val="Compact"/>
              <w:jc w:val="right"/>
            </w:pPr>
            <w:r>
              <w:t xml:space="preserve">0.07</w:t>
            </w:r>
          </w:p>
        </w:tc>
      </w:tr>
      <w:tr>
        <w:tc>
          <w:p>
            <w:pPr>
              <w:pStyle w:val="Compact"/>
              <w:jc w:val="left"/>
            </w:pPr>
            <w:r>
              <w:t xml:space="preserve">Sweden</w:t>
            </w:r>
          </w:p>
        </w:tc>
        <w:tc>
          <w:p>
            <w:pPr>
              <w:pStyle w:val="Compact"/>
              <w:jc w:val="right"/>
            </w:pPr>
            <w:r>
              <w:t xml:space="preserve">0.05</w:t>
            </w:r>
          </w:p>
        </w:tc>
        <w:tc>
          <w:p>
            <w:pPr>
              <w:pStyle w:val="Compact"/>
              <w:jc w:val="right"/>
            </w:pPr>
            <w:r>
              <w:t xml:space="preserve">5.15</w:t>
            </w:r>
          </w:p>
        </w:tc>
        <w:tc>
          <w:p>
            <w:pPr>
              <w:pStyle w:val="Compact"/>
              <w:jc w:val="right"/>
            </w:pPr>
            <w:r>
              <w:t xml:space="preserve">0.00</w:t>
            </w:r>
          </w:p>
        </w:tc>
        <w:tc>
          <w:p>
            <w:pPr>
              <w:pStyle w:val="Compact"/>
              <w:jc w:val="right"/>
            </w:pPr>
            <w:r>
              <w:t xml:space="preserve">11207</w:t>
            </w:r>
          </w:p>
        </w:tc>
        <w:tc>
          <w:p>
            <w:pPr>
              <w:pStyle w:val="Compact"/>
              <w:jc w:val="right"/>
            </w:pPr>
            <w:r>
              <w:t xml:space="preserve">0.03</w:t>
            </w:r>
          </w:p>
        </w:tc>
        <w:tc>
          <w:p>
            <w:pPr>
              <w:pStyle w:val="Compact"/>
              <w:jc w:val="right"/>
            </w:pPr>
            <w:r>
              <w:t xml:space="preserve">0.07</w:t>
            </w:r>
          </w:p>
        </w:tc>
      </w:tr>
      <w:tr>
        <w:tc>
          <w:p>
            <w:pPr>
              <w:pStyle w:val="Compact"/>
              <w:jc w:val="left"/>
            </w:pPr>
            <w:r>
              <w:t xml:space="preserve">Finland</w:t>
            </w:r>
          </w:p>
        </w:tc>
        <w:tc>
          <w:p>
            <w:pPr>
              <w:pStyle w:val="Compact"/>
              <w:jc w:val="right"/>
            </w:pPr>
            <w:r>
              <w:t xml:space="preserve">0.04</w:t>
            </w:r>
          </w:p>
        </w:tc>
        <w:tc>
          <w:p>
            <w:pPr>
              <w:pStyle w:val="Compact"/>
              <w:jc w:val="right"/>
            </w:pPr>
            <w:r>
              <w:t xml:space="preserve">4.03</w:t>
            </w:r>
          </w:p>
        </w:tc>
        <w:tc>
          <w:p>
            <w:pPr>
              <w:pStyle w:val="Compact"/>
              <w:jc w:val="right"/>
            </w:pPr>
            <w:r>
              <w:t xml:space="preserve">0.00</w:t>
            </w:r>
          </w:p>
        </w:tc>
        <w:tc>
          <w:p>
            <w:pPr>
              <w:pStyle w:val="Compact"/>
              <w:jc w:val="right"/>
            </w:pPr>
            <w:r>
              <w:t xml:space="preserve">13194</w:t>
            </w:r>
          </w:p>
        </w:tc>
        <w:tc>
          <w:p>
            <w:pPr>
              <w:pStyle w:val="Compact"/>
              <w:jc w:val="right"/>
            </w:pPr>
            <w:r>
              <w:t xml:space="preserve">0.02</w:t>
            </w:r>
          </w:p>
        </w:tc>
        <w:tc>
          <w:p>
            <w:pPr>
              <w:pStyle w:val="Compact"/>
              <w:jc w:val="right"/>
            </w:pPr>
            <w:r>
              <w:t xml:space="preserve">0.05</w:t>
            </w:r>
          </w:p>
        </w:tc>
      </w:tr>
      <w:tr>
        <w:tc>
          <w:p>
            <w:pPr>
              <w:pStyle w:val="Compact"/>
              <w:jc w:val="left"/>
            </w:pPr>
            <w:r>
              <w:t xml:space="preserve">France</w:t>
            </w:r>
          </w:p>
        </w:tc>
        <w:tc>
          <w:p>
            <w:pPr>
              <w:pStyle w:val="Compact"/>
              <w:jc w:val="right"/>
            </w:pPr>
            <w:r>
              <w:t xml:space="preserve">-0.04</w:t>
            </w:r>
          </w:p>
        </w:tc>
        <w:tc>
          <w:p>
            <w:pPr>
              <w:pStyle w:val="Compact"/>
              <w:jc w:val="right"/>
            </w:pPr>
            <w:r>
              <w:t xml:space="preserve">-4.95</w:t>
            </w:r>
          </w:p>
        </w:tc>
        <w:tc>
          <w:p>
            <w:pPr>
              <w:pStyle w:val="Compact"/>
              <w:jc w:val="right"/>
            </w:pPr>
            <w:r>
              <w:t xml:space="preserve">0.00</w:t>
            </w:r>
          </w:p>
        </w:tc>
        <w:tc>
          <w:p>
            <w:pPr>
              <w:pStyle w:val="Compact"/>
              <w:jc w:val="right"/>
            </w:pPr>
            <w:r>
              <w:t xml:space="preserve">12791</w:t>
            </w:r>
          </w:p>
        </w:tc>
        <w:tc>
          <w:p>
            <w:pPr>
              <w:pStyle w:val="Compact"/>
              <w:jc w:val="right"/>
            </w:pPr>
            <w:r>
              <w:t xml:space="preserve">-0.06</w:t>
            </w:r>
          </w:p>
        </w:tc>
        <w:tc>
          <w:p>
            <w:pPr>
              <w:pStyle w:val="Compact"/>
              <w:jc w:val="right"/>
            </w:pPr>
            <w:r>
              <w:t xml:space="preserve">-0.03</w:t>
            </w:r>
          </w:p>
        </w:tc>
      </w:tr>
      <w:tr>
        <w:tc>
          <w:p>
            <w:pPr>
              <w:pStyle w:val="Compact"/>
              <w:jc w:val="left"/>
            </w:pPr>
            <w:r>
              <w:t xml:space="preserve">Latvia</w:t>
            </w:r>
          </w:p>
        </w:tc>
        <w:tc>
          <w:p>
            <w:pPr>
              <w:pStyle w:val="Compact"/>
              <w:jc w:val="right"/>
            </w:pPr>
            <w:r>
              <w:t xml:space="preserve">0.04</w:t>
            </w:r>
          </w:p>
        </w:tc>
        <w:tc>
          <w:p>
            <w:pPr>
              <w:pStyle w:val="Compact"/>
              <w:jc w:val="right"/>
            </w:pPr>
            <w:r>
              <w:t xml:space="preserve">1.82</w:t>
            </w:r>
          </w:p>
        </w:tc>
        <w:tc>
          <w:p>
            <w:pPr>
              <w:pStyle w:val="Compact"/>
              <w:jc w:val="right"/>
            </w:pPr>
            <w:r>
              <w:t xml:space="preserve">0.07</w:t>
            </w:r>
          </w:p>
        </w:tc>
        <w:tc>
          <w:p>
            <w:pPr>
              <w:pStyle w:val="Compact"/>
              <w:jc w:val="right"/>
            </w:pPr>
            <w:r>
              <w:t xml:space="preserve">1639</w:t>
            </w:r>
          </w:p>
        </w:tc>
        <w:tc>
          <w:p>
            <w:pPr>
              <w:pStyle w:val="Compact"/>
              <w:jc w:val="right"/>
            </w:pPr>
            <w:r>
              <w:t xml:space="preserve">0.00</w:t>
            </w:r>
          </w:p>
        </w:tc>
        <w:tc>
          <w:p>
            <w:pPr>
              <w:pStyle w:val="Compact"/>
              <w:jc w:val="right"/>
            </w:pPr>
            <w:r>
              <w:t xml:space="preserve">0.09</w:t>
            </w:r>
          </w:p>
        </w:tc>
      </w:tr>
      <w:tr>
        <w:tc>
          <w:p>
            <w:pPr>
              <w:pStyle w:val="Compact"/>
              <w:jc w:val="left"/>
            </w:pPr>
            <w:r>
              <w:t xml:space="preserve">Ukraine</w:t>
            </w:r>
          </w:p>
        </w:tc>
        <w:tc>
          <w:p>
            <w:pPr>
              <w:pStyle w:val="Compact"/>
              <w:jc w:val="right"/>
            </w:pPr>
            <w:r>
              <w:t xml:space="preserve">-0.04</w:t>
            </w:r>
          </w:p>
        </w:tc>
        <w:tc>
          <w:p>
            <w:pPr>
              <w:pStyle w:val="Compact"/>
              <w:jc w:val="right"/>
            </w:pPr>
            <w:r>
              <w:t xml:space="preserve">-3.04</w:t>
            </w:r>
          </w:p>
        </w:tc>
        <w:tc>
          <w:p>
            <w:pPr>
              <w:pStyle w:val="Compact"/>
              <w:jc w:val="right"/>
            </w:pPr>
            <w:r>
              <w:t xml:space="preserve">0.00</w:t>
            </w:r>
          </w:p>
        </w:tc>
        <w:tc>
          <w:p>
            <w:pPr>
              <w:pStyle w:val="Compact"/>
              <w:jc w:val="right"/>
            </w:pPr>
            <w:r>
              <w:t xml:space="preserve">6544</w:t>
            </w:r>
          </w:p>
        </w:tc>
        <w:tc>
          <w:p>
            <w:pPr>
              <w:pStyle w:val="Compact"/>
              <w:jc w:val="right"/>
            </w:pPr>
            <w:r>
              <w:t xml:space="preserve">-0.06</w:t>
            </w:r>
          </w:p>
        </w:tc>
        <w:tc>
          <w:p>
            <w:pPr>
              <w:pStyle w:val="Compact"/>
              <w:jc w:val="right"/>
            </w:pPr>
            <w:r>
              <w:t xml:space="preserve">-0.01</w:t>
            </w:r>
          </w:p>
        </w:tc>
      </w:tr>
      <w:tr>
        <w:tc>
          <w:p>
            <w:pPr>
              <w:pStyle w:val="Compact"/>
              <w:jc w:val="left"/>
            </w:pPr>
            <w:r>
              <w:t xml:space="preserve">Czech Republic</w:t>
            </w:r>
          </w:p>
        </w:tc>
        <w:tc>
          <w:p>
            <w:pPr>
              <w:pStyle w:val="Compact"/>
              <w:jc w:val="right"/>
            </w:pPr>
            <w:r>
              <w:t xml:space="preserve">0.03</w:t>
            </w:r>
          </w:p>
        </w:tc>
        <w:tc>
          <w:p>
            <w:pPr>
              <w:pStyle w:val="Compact"/>
              <w:jc w:val="right"/>
            </w:pPr>
            <w:r>
              <w:t xml:space="preserve">3.16</w:t>
            </w:r>
          </w:p>
        </w:tc>
        <w:tc>
          <w:p>
            <w:pPr>
              <w:pStyle w:val="Compact"/>
              <w:jc w:val="right"/>
            </w:pPr>
            <w:r>
              <w:t xml:space="preserve">0.00</w:t>
            </w:r>
          </w:p>
        </w:tc>
        <w:tc>
          <w:p>
            <w:pPr>
              <w:pStyle w:val="Compact"/>
              <w:jc w:val="right"/>
            </w:pPr>
            <w:r>
              <w:t xml:space="preserve">12454</w:t>
            </w:r>
          </w:p>
        </w:tc>
        <w:tc>
          <w:p>
            <w:pPr>
              <w:pStyle w:val="Compact"/>
              <w:jc w:val="right"/>
            </w:pPr>
            <w:r>
              <w:t xml:space="preserve">0.01</w:t>
            </w:r>
          </w:p>
        </w:tc>
        <w:tc>
          <w:p>
            <w:pPr>
              <w:pStyle w:val="Compact"/>
              <w:jc w:val="right"/>
            </w:pPr>
            <w:r>
              <w:t xml:space="preserve">0.05</w:t>
            </w:r>
          </w:p>
        </w:tc>
      </w:tr>
      <w:tr>
        <w:tc>
          <w:p>
            <w:pPr>
              <w:pStyle w:val="Compact"/>
              <w:jc w:val="left"/>
            </w:pPr>
            <w:r>
              <w:t xml:space="preserve">Slovakia</w:t>
            </w:r>
          </w:p>
        </w:tc>
        <w:tc>
          <w:p>
            <w:pPr>
              <w:pStyle w:val="Compact"/>
              <w:jc w:val="right"/>
            </w:pPr>
            <w:r>
              <w:t xml:space="preserve">-0.03</w:t>
            </w:r>
          </w:p>
        </w:tc>
        <w:tc>
          <w:p>
            <w:pPr>
              <w:pStyle w:val="Compact"/>
              <w:jc w:val="right"/>
            </w:pPr>
            <w:r>
              <w:t xml:space="preserve">-2.26</w:t>
            </w:r>
          </w:p>
        </w:tc>
        <w:tc>
          <w:p>
            <w:pPr>
              <w:pStyle w:val="Compact"/>
              <w:jc w:val="right"/>
            </w:pPr>
            <w:r>
              <w:t xml:space="preserve">0.02</w:t>
            </w:r>
          </w:p>
        </w:tc>
        <w:tc>
          <w:p>
            <w:pPr>
              <w:pStyle w:val="Compact"/>
              <w:jc w:val="right"/>
            </w:pPr>
            <w:r>
              <w:t xml:space="preserve">7789</w:t>
            </w:r>
          </w:p>
        </w:tc>
        <w:tc>
          <w:p>
            <w:pPr>
              <w:pStyle w:val="Compact"/>
              <w:jc w:val="right"/>
            </w:pPr>
            <w:r>
              <w:t xml:space="preserve">-0.05</w:t>
            </w:r>
          </w:p>
        </w:tc>
        <w:tc>
          <w:p>
            <w:pPr>
              <w:pStyle w:val="Compact"/>
              <w:jc w:val="right"/>
            </w:pPr>
            <w:r>
              <w:t xml:space="preserve">0.00</w:t>
            </w:r>
          </w:p>
        </w:tc>
      </w:tr>
      <w:tr>
        <w:tc>
          <w:p>
            <w:pPr>
              <w:pStyle w:val="Compact"/>
              <w:jc w:val="left"/>
            </w:pPr>
            <w:r>
              <w:t xml:space="preserve">Austria</w:t>
            </w:r>
          </w:p>
        </w:tc>
        <w:tc>
          <w:p>
            <w:pPr>
              <w:pStyle w:val="Compact"/>
              <w:jc w:val="right"/>
            </w:pPr>
            <w:r>
              <w:t xml:space="preserve">-0.02</w:t>
            </w:r>
          </w:p>
        </w:tc>
        <w:tc>
          <w:p>
            <w:pPr>
              <w:pStyle w:val="Compact"/>
              <w:jc w:val="right"/>
            </w:pPr>
            <w:r>
              <w:t xml:space="preserve">-1.58</w:t>
            </w:r>
          </w:p>
        </w:tc>
        <w:tc>
          <w:p>
            <w:pPr>
              <w:pStyle w:val="Compact"/>
              <w:jc w:val="right"/>
            </w:pPr>
            <w:r>
              <w:t xml:space="preserve">0.12</w:t>
            </w:r>
          </w:p>
        </w:tc>
        <w:tc>
          <w:p>
            <w:pPr>
              <w:pStyle w:val="Compact"/>
              <w:jc w:val="right"/>
            </w:pPr>
            <w:r>
              <w:t xml:space="preserve">9161</w:t>
            </w:r>
          </w:p>
        </w:tc>
        <w:tc>
          <w:p>
            <w:pPr>
              <w:pStyle w:val="Compact"/>
              <w:jc w:val="right"/>
            </w:pPr>
            <w:r>
              <w:t xml:space="preserve">-0.04</w:t>
            </w:r>
          </w:p>
        </w:tc>
        <w:tc>
          <w:p>
            <w:pPr>
              <w:pStyle w:val="Compact"/>
              <w:jc w:val="right"/>
            </w:pPr>
            <w:r>
              <w:t xml:space="preserve">0.00</w:t>
            </w:r>
          </w:p>
        </w:tc>
      </w:tr>
      <w:tr>
        <w:tc>
          <w:p>
            <w:pPr>
              <w:pStyle w:val="Compact"/>
              <w:jc w:val="left"/>
            </w:pPr>
            <w:r>
              <w:t xml:space="preserve">Norway</w:t>
            </w:r>
          </w:p>
        </w:tc>
        <w:tc>
          <w:p>
            <w:pPr>
              <w:pStyle w:val="Compact"/>
              <w:jc w:val="right"/>
            </w:pPr>
            <w:r>
              <w:t xml:space="preserve">0.02</w:t>
            </w:r>
          </w:p>
        </w:tc>
        <w:tc>
          <w:p>
            <w:pPr>
              <w:pStyle w:val="Compact"/>
              <w:jc w:val="right"/>
            </w:pPr>
            <w:r>
              <w:t xml:space="preserve">2.55</w:t>
            </w:r>
          </w:p>
        </w:tc>
        <w:tc>
          <w:p>
            <w:pPr>
              <w:pStyle w:val="Compact"/>
              <w:jc w:val="right"/>
            </w:pPr>
            <w:r>
              <w:t xml:space="preserve">0.01</w:t>
            </w:r>
          </w:p>
        </w:tc>
        <w:tc>
          <w:p>
            <w:pPr>
              <w:pStyle w:val="Compact"/>
              <w:jc w:val="right"/>
            </w:pPr>
            <w:r>
              <w:t xml:space="preserve">10980</w:t>
            </w:r>
          </w:p>
        </w:tc>
        <w:tc>
          <w:p>
            <w:pPr>
              <w:pStyle w:val="Compact"/>
              <w:jc w:val="right"/>
            </w:pPr>
            <w:r>
              <w:t xml:space="preserve">0.01</w:t>
            </w:r>
          </w:p>
        </w:tc>
        <w:tc>
          <w:p>
            <w:pPr>
              <w:pStyle w:val="Compact"/>
              <w:jc w:val="right"/>
            </w:pPr>
            <w:r>
              <w:t xml:space="preserve">0.04</w:t>
            </w:r>
          </w:p>
        </w:tc>
      </w:tr>
      <w:tr>
        <w:tc>
          <w:p>
            <w:pPr>
              <w:pStyle w:val="Compact"/>
              <w:jc w:val="left"/>
            </w:pPr>
            <w:r>
              <w:t xml:space="preserve">Poland</w:t>
            </w:r>
          </w:p>
        </w:tc>
        <w:tc>
          <w:p>
            <w:pPr>
              <w:pStyle w:val="Compact"/>
              <w:jc w:val="right"/>
            </w:pPr>
            <w:r>
              <w:t xml:space="preserve">-0.02</w:t>
            </w:r>
          </w:p>
        </w:tc>
        <w:tc>
          <w:p>
            <w:pPr>
              <w:pStyle w:val="Compact"/>
              <w:jc w:val="right"/>
            </w:pPr>
            <w:r>
              <w:t xml:space="preserve">-2.79</w:t>
            </w:r>
          </w:p>
        </w:tc>
        <w:tc>
          <w:p>
            <w:pPr>
              <w:pStyle w:val="Compact"/>
              <w:jc w:val="right"/>
            </w:pPr>
            <w:r>
              <w:t xml:space="preserve">0.01</w:t>
            </w:r>
          </w:p>
        </w:tc>
        <w:tc>
          <w:p>
            <w:pPr>
              <w:pStyle w:val="Compact"/>
              <w:jc w:val="right"/>
            </w:pPr>
            <w:r>
              <w:t xml:space="preserve">12640</w:t>
            </w:r>
          </w:p>
        </w:tc>
        <w:tc>
          <w:p>
            <w:pPr>
              <w:pStyle w:val="Compact"/>
              <w:jc w:val="right"/>
            </w:pPr>
            <w:r>
              <w:t xml:space="preserve">-0.04</w:t>
            </w:r>
          </w:p>
        </w:tc>
        <w:tc>
          <w:p>
            <w:pPr>
              <w:pStyle w:val="Compact"/>
              <w:jc w:val="right"/>
            </w:pPr>
            <w:r>
              <w:t xml:space="preserve">-0.01</w:t>
            </w:r>
          </w:p>
        </w:tc>
      </w:tr>
      <w:tr>
        <w:tc>
          <w:p>
            <w:pPr>
              <w:pStyle w:val="Compact"/>
              <w:jc w:val="left"/>
            </w:pPr>
            <w:r>
              <w:t xml:space="preserve">Switzerland</w:t>
            </w:r>
          </w:p>
        </w:tc>
        <w:tc>
          <w:p>
            <w:pPr>
              <w:pStyle w:val="Compact"/>
              <w:jc w:val="right"/>
            </w:pPr>
            <w:r>
              <w:t xml:space="preserve">-0.02</w:t>
            </w:r>
          </w:p>
        </w:tc>
        <w:tc>
          <w:p>
            <w:pPr>
              <w:pStyle w:val="Compact"/>
              <w:jc w:val="right"/>
            </w:pPr>
            <w:r>
              <w:t xml:space="preserve">-2.32</w:t>
            </w:r>
          </w:p>
        </w:tc>
        <w:tc>
          <w:p>
            <w:pPr>
              <w:pStyle w:val="Compact"/>
              <w:jc w:val="right"/>
            </w:pPr>
            <w:r>
              <w:t xml:space="preserve">0.02</w:t>
            </w:r>
          </w:p>
        </w:tc>
        <w:tc>
          <w:p>
            <w:pPr>
              <w:pStyle w:val="Compact"/>
              <w:jc w:val="right"/>
            </w:pPr>
            <w:r>
              <w:t xml:space="preserve">10143</w:t>
            </w:r>
          </w:p>
        </w:tc>
        <w:tc>
          <w:p>
            <w:pPr>
              <w:pStyle w:val="Compact"/>
              <w:jc w:val="right"/>
            </w:pPr>
            <w:r>
              <w:t xml:space="preserve">-0.04</w:t>
            </w:r>
          </w:p>
        </w:tc>
        <w:tc>
          <w:p>
            <w:pPr>
              <w:pStyle w:val="Compact"/>
              <w:jc w:val="right"/>
            </w:pPr>
            <w:r>
              <w:t xml:space="preserve">0.00</w:t>
            </w:r>
          </w:p>
        </w:tc>
      </w:tr>
      <w:tr>
        <w:tc>
          <w:p>
            <w:pPr>
              <w:pStyle w:val="Compact"/>
              <w:jc w:val="left"/>
            </w:pPr>
            <w:r>
              <w:t xml:space="preserve">Hungary</w:t>
            </w:r>
          </w:p>
        </w:tc>
        <w:tc>
          <w:p>
            <w:pPr>
              <w:pStyle w:val="Compact"/>
              <w:jc w:val="right"/>
            </w:pPr>
            <w:r>
              <w:t xml:space="preserve">-0.01</w:t>
            </w:r>
          </w:p>
        </w:tc>
        <w:tc>
          <w:p>
            <w:pPr>
              <w:pStyle w:val="Compact"/>
              <w:jc w:val="right"/>
            </w:pPr>
            <w:r>
              <w:t xml:space="preserve">-0.64</w:t>
            </w:r>
          </w:p>
        </w:tc>
        <w:tc>
          <w:p>
            <w:pPr>
              <w:pStyle w:val="Compact"/>
              <w:jc w:val="right"/>
            </w:pPr>
            <w:r>
              <w:t xml:space="preserve">0.53</w:t>
            </w:r>
          </w:p>
        </w:tc>
        <w:tc>
          <w:p>
            <w:pPr>
              <w:pStyle w:val="Compact"/>
              <w:jc w:val="right"/>
            </w:pPr>
            <w:r>
              <w:t xml:space="preserve">10249</w:t>
            </w:r>
          </w:p>
        </w:tc>
        <w:tc>
          <w:p>
            <w:pPr>
              <w:pStyle w:val="Compact"/>
              <w:jc w:val="right"/>
            </w:pPr>
            <w:r>
              <w:t xml:space="preserve">-0.03</w:t>
            </w:r>
          </w:p>
        </w:tc>
        <w:tc>
          <w:p>
            <w:pPr>
              <w:pStyle w:val="Compact"/>
              <w:jc w:val="right"/>
            </w:pPr>
            <w:r>
              <w:t xml:space="preserve">0.01</w:t>
            </w:r>
          </w:p>
        </w:tc>
      </w:tr>
    </w:tbl>
    <w:p>
      <w:pPr>
        <w:pStyle w:val="BodyText"/>
      </w:pPr>
      <w:r>
        <w:t xml:space="preserve">Як видно з таблиці позитивна кореляція більше 0.05 у таких країн, як Данія, Німеччина, Естонія, Ісландія, Нідерланди та Росія.</w:t>
      </w:r>
      <w:r>
        <w:t xml:space="preserve"> </w:t>
      </w:r>
      <w:r>
        <w:t xml:space="preserve">Негативна кореляція проявляється сильніше. Найбільша негтивна кореляція у вже згаданої Туреччини, Албанії, Греції, Португалії, Румунії та Іспанії. Тобто країни Південної Європи відрізняються реакціями на економічний добробут від країн, розташованих північніше.</w:t>
      </w:r>
    </w:p>
    <w:tbl>
      <w:tblPr>
        <w:tblStyle w:val="Table"/>
        <w:tblW w:type="pct" w:w="0.0"/>
        <w:tblLook w:firstRow="1"/>
      </w:tblPr>
      <w:tblGrid/>
      <w:tr>
        <w:trPr>
          <w:cnfStyle w:firstRow="1"/>
        </w:trPr>
        <w:tc>
          <w:tcPr>
            <w:tcBorders>
              <w:bottom w:val="single"/>
            </w:tcBorders>
            <w:vAlign w:val="bottom"/>
          </w:tcPr>
          <w:p>
            <w:pPr>
              <w:pStyle w:val="Compact"/>
              <w:jc w:val="left"/>
            </w:pPr>
            <w:r>
              <w:t xml:space="preserve">cntry</w:t>
            </w:r>
          </w:p>
        </w:tc>
        <w:tc>
          <w:tcPr>
            <w:tcBorders>
              <w:bottom w:val="single"/>
            </w:tcBorders>
            <w:vAlign w:val="bottom"/>
          </w:tcPr>
          <w:p>
            <w:pPr>
              <w:pStyle w:val="Compact"/>
              <w:jc w:val="right"/>
            </w:pPr>
            <w:r>
              <w:t xml:space="preserve">sumsq</w:t>
            </w:r>
          </w:p>
        </w:tc>
        <w:tc>
          <w:tcPr>
            <w:tcBorders>
              <w:bottom w:val="single"/>
            </w:tcBorders>
            <w:vAlign w:val="bottom"/>
          </w:tcPr>
          <w:p>
            <w:pPr>
              <w:pStyle w:val="Compact"/>
              <w:jc w:val="right"/>
            </w:pPr>
            <w:r>
              <w:t xml:space="preserve">meansq</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r>
      <w:tr>
        <w:tc>
          <w:p>
            <w:pPr>
              <w:pStyle w:val="Compact"/>
              <w:jc w:val="left"/>
            </w:pPr>
            <w:r>
              <w:t xml:space="preserve">Albania</w:t>
            </w:r>
          </w:p>
        </w:tc>
        <w:tc>
          <w:p>
            <w:pPr>
              <w:pStyle w:val="Compact"/>
              <w:jc w:val="right"/>
            </w:pPr>
            <w:r>
              <w:t xml:space="preserve">21.17</w:t>
            </w:r>
          </w:p>
        </w:tc>
        <w:tc>
          <w:p>
            <w:pPr>
              <w:pStyle w:val="Compact"/>
              <w:jc w:val="right"/>
            </w:pPr>
            <w:r>
              <w:t xml:space="preserve">21.17</w:t>
            </w:r>
          </w:p>
        </w:tc>
        <w:tc>
          <w:p>
            <w:pPr>
              <w:pStyle w:val="Compact"/>
              <w:jc w:val="right"/>
            </w:pPr>
            <w:r>
              <w:t xml:space="preserve">53.06</w:t>
            </w:r>
          </w:p>
        </w:tc>
        <w:tc>
          <w:p>
            <w:pPr>
              <w:pStyle w:val="Compact"/>
              <w:jc w:val="right"/>
            </w:pPr>
            <w:r>
              <w:t xml:space="preserve">0.00</w:t>
            </w:r>
          </w:p>
        </w:tc>
      </w:tr>
      <w:tr>
        <w:tc>
          <w:p>
            <w:pPr>
              <w:pStyle w:val="Compact"/>
              <w:jc w:val="left"/>
            </w:pPr>
            <w:r>
              <w:t xml:space="preserve">Belgium</w:t>
            </w:r>
          </w:p>
        </w:tc>
        <w:tc>
          <w:p>
            <w:pPr>
              <w:pStyle w:val="Compact"/>
              <w:jc w:val="right"/>
            </w:pPr>
            <w:r>
              <w:t xml:space="preserve">12.76</w:t>
            </w:r>
          </w:p>
        </w:tc>
        <w:tc>
          <w:p>
            <w:pPr>
              <w:pStyle w:val="Compact"/>
              <w:jc w:val="right"/>
            </w:pPr>
            <w:r>
              <w:t xml:space="preserve">12.76</w:t>
            </w:r>
          </w:p>
        </w:tc>
        <w:tc>
          <w:p>
            <w:pPr>
              <w:pStyle w:val="Compact"/>
              <w:jc w:val="right"/>
            </w:pPr>
            <w:r>
              <w:t xml:space="preserve">30.23</w:t>
            </w:r>
          </w:p>
        </w:tc>
        <w:tc>
          <w:p>
            <w:pPr>
              <w:pStyle w:val="Compact"/>
              <w:jc w:val="right"/>
            </w:pPr>
            <w:r>
              <w:t xml:space="preserve">0.00</w:t>
            </w:r>
          </w:p>
        </w:tc>
      </w:tr>
      <w:tr>
        <w:tc>
          <w:p>
            <w:pPr>
              <w:pStyle w:val="Compact"/>
              <w:jc w:val="left"/>
            </w:pPr>
            <w:r>
              <w:t xml:space="preserve">Bulgaria</w:t>
            </w:r>
          </w:p>
        </w:tc>
        <w:tc>
          <w:p>
            <w:pPr>
              <w:pStyle w:val="Compact"/>
              <w:jc w:val="right"/>
            </w:pPr>
            <w:r>
              <w:t xml:space="preserve">10.93</w:t>
            </w:r>
          </w:p>
        </w:tc>
        <w:tc>
          <w:p>
            <w:pPr>
              <w:pStyle w:val="Compact"/>
              <w:jc w:val="right"/>
            </w:pPr>
            <w:r>
              <w:t xml:space="preserve">10.93</w:t>
            </w:r>
          </w:p>
        </w:tc>
        <w:tc>
          <w:p>
            <w:pPr>
              <w:pStyle w:val="Compact"/>
              <w:jc w:val="right"/>
            </w:pPr>
            <w:r>
              <w:t xml:space="preserve">32.08</w:t>
            </w:r>
          </w:p>
        </w:tc>
        <w:tc>
          <w:p>
            <w:pPr>
              <w:pStyle w:val="Compact"/>
              <w:jc w:val="right"/>
            </w:pPr>
            <w:r>
              <w:t xml:space="preserve">0.00</w:t>
            </w:r>
          </w:p>
        </w:tc>
      </w:tr>
      <w:tr>
        <w:tc>
          <w:p>
            <w:pPr>
              <w:pStyle w:val="Compact"/>
              <w:jc w:val="left"/>
            </w:pPr>
            <w:r>
              <w:t xml:space="preserve">Croatia</w:t>
            </w:r>
          </w:p>
        </w:tc>
        <w:tc>
          <w:p>
            <w:pPr>
              <w:pStyle w:val="Compact"/>
              <w:jc w:val="right"/>
            </w:pPr>
            <w:r>
              <w:t xml:space="preserve">3.67</w:t>
            </w:r>
          </w:p>
        </w:tc>
        <w:tc>
          <w:p>
            <w:pPr>
              <w:pStyle w:val="Compact"/>
              <w:jc w:val="right"/>
            </w:pPr>
            <w:r>
              <w:t xml:space="preserve">3.67</w:t>
            </w:r>
          </w:p>
        </w:tc>
        <w:tc>
          <w:p>
            <w:pPr>
              <w:pStyle w:val="Compact"/>
              <w:jc w:val="right"/>
            </w:pPr>
            <w:r>
              <w:t xml:space="preserve">8.15</w:t>
            </w:r>
          </w:p>
        </w:tc>
        <w:tc>
          <w:p>
            <w:pPr>
              <w:pStyle w:val="Compact"/>
              <w:jc w:val="right"/>
            </w:pPr>
            <w:r>
              <w:t xml:space="preserve">0.00</w:t>
            </w:r>
          </w:p>
        </w:tc>
      </w:tr>
      <w:tr>
        <w:tc>
          <w:p>
            <w:pPr>
              <w:pStyle w:val="Compact"/>
              <w:jc w:val="left"/>
            </w:pPr>
            <w:r>
              <w:t xml:space="preserve">Czech Republic</w:t>
            </w:r>
          </w:p>
        </w:tc>
        <w:tc>
          <w:p>
            <w:pPr>
              <w:pStyle w:val="Compact"/>
              <w:jc w:val="right"/>
            </w:pPr>
            <w:r>
              <w:t xml:space="preserve">5.05</w:t>
            </w:r>
          </w:p>
        </w:tc>
        <w:tc>
          <w:p>
            <w:pPr>
              <w:pStyle w:val="Compact"/>
              <w:jc w:val="right"/>
            </w:pPr>
            <w:r>
              <w:t xml:space="preserve">5.05</w:t>
            </w:r>
          </w:p>
        </w:tc>
        <w:tc>
          <w:p>
            <w:pPr>
              <w:pStyle w:val="Compact"/>
              <w:jc w:val="right"/>
            </w:pPr>
            <w:r>
              <w:t xml:space="preserve">10.00</w:t>
            </w:r>
          </w:p>
        </w:tc>
        <w:tc>
          <w:p>
            <w:pPr>
              <w:pStyle w:val="Compact"/>
              <w:jc w:val="right"/>
            </w:pPr>
            <w:r>
              <w:t xml:space="preserve">0.00</w:t>
            </w:r>
          </w:p>
        </w:tc>
      </w:tr>
      <w:tr>
        <w:tc>
          <w:p>
            <w:pPr>
              <w:pStyle w:val="Compact"/>
              <w:jc w:val="left"/>
            </w:pPr>
            <w:r>
              <w:t xml:space="preserve">Denmark</w:t>
            </w:r>
          </w:p>
        </w:tc>
        <w:tc>
          <w:p>
            <w:pPr>
              <w:pStyle w:val="Compact"/>
              <w:jc w:val="right"/>
            </w:pPr>
            <w:r>
              <w:t xml:space="preserve">29.81</w:t>
            </w:r>
          </w:p>
        </w:tc>
        <w:tc>
          <w:p>
            <w:pPr>
              <w:pStyle w:val="Compact"/>
              <w:jc w:val="right"/>
            </w:pPr>
            <w:r>
              <w:t xml:space="preserve">29.81</w:t>
            </w:r>
          </w:p>
        </w:tc>
        <w:tc>
          <w:p>
            <w:pPr>
              <w:pStyle w:val="Compact"/>
              <w:jc w:val="right"/>
            </w:pPr>
            <w:r>
              <w:t xml:space="preserve">61.19</w:t>
            </w:r>
          </w:p>
        </w:tc>
        <w:tc>
          <w:p>
            <w:pPr>
              <w:pStyle w:val="Compact"/>
              <w:jc w:val="right"/>
            </w:pPr>
            <w:r>
              <w:t xml:space="preserve">0.00</w:t>
            </w:r>
          </w:p>
        </w:tc>
      </w:tr>
      <w:tr>
        <w:tc>
          <w:p>
            <w:pPr>
              <w:pStyle w:val="Compact"/>
              <w:jc w:val="left"/>
            </w:pPr>
            <w:r>
              <w:t xml:space="preserve">Estonia</w:t>
            </w:r>
          </w:p>
        </w:tc>
        <w:tc>
          <w:p>
            <w:pPr>
              <w:pStyle w:val="Compact"/>
              <w:jc w:val="right"/>
            </w:pPr>
            <w:r>
              <w:t xml:space="preserve">48.84</w:t>
            </w:r>
          </w:p>
        </w:tc>
        <w:tc>
          <w:p>
            <w:pPr>
              <w:pStyle w:val="Compact"/>
              <w:jc w:val="right"/>
            </w:pPr>
            <w:r>
              <w:t xml:space="preserve">48.84</w:t>
            </w:r>
          </w:p>
        </w:tc>
        <w:tc>
          <w:p>
            <w:pPr>
              <w:pStyle w:val="Compact"/>
              <w:jc w:val="right"/>
            </w:pPr>
            <w:r>
              <w:t xml:space="preserve">95.00</w:t>
            </w:r>
          </w:p>
        </w:tc>
        <w:tc>
          <w:p>
            <w:pPr>
              <w:pStyle w:val="Compact"/>
              <w:jc w:val="right"/>
            </w:pPr>
            <w:r>
              <w:t xml:space="preserve">0.00</w:t>
            </w:r>
          </w:p>
        </w:tc>
      </w:tr>
      <w:tr>
        <w:tc>
          <w:p>
            <w:pPr>
              <w:pStyle w:val="Compact"/>
              <w:jc w:val="left"/>
            </w:pPr>
            <w:r>
              <w:t xml:space="preserve">Finland</w:t>
            </w:r>
          </w:p>
        </w:tc>
        <w:tc>
          <w:p>
            <w:pPr>
              <w:pStyle w:val="Compact"/>
              <w:jc w:val="right"/>
            </w:pPr>
            <w:r>
              <w:t xml:space="preserve">8.98</w:t>
            </w:r>
          </w:p>
        </w:tc>
        <w:tc>
          <w:p>
            <w:pPr>
              <w:pStyle w:val="Compact"/>
              <w:jc w:val="right"/>
            </w:pPr>
            <w:r>
              <w:t xml:space="preserve">8.98</w:t>
            </w:r>
          </w:p>
        </w:tc>
        <w:tc>
          <w:p>
            <w:pPr>
              <w:pStyle w:val="Compact"/>
              <w:jc w:val="right"/>
            </w:pPr>
            <w:r>
              <w:t xml:space="preserve">16.25</w:t>
            </w:r>
          </w:p>
        </w:tc>
        <w:tc>
          <w:p>
            <w:pPr>
              <w:pStyle w:val="Compact"/>
              <w:jc w:val="right"/>
            </w:pPr>
            <w:r>
              <w:t xml:space="preserve">0.00</w:t>
            </w:r>
          </w:p>
        </w:tc>
      </w:tr>
      <w:tr>
        <w:tc>
          <w:p>
            <w:pPr>
              <w:pStyle w:val="Compact"/>
              <w:jc w:val="left"/>
            </w:pPr>
            <w:r>
              <w:t xml:space="preserve">France</w:t>
            </w:r>
          </w:p>
        </w:tc>
        <w:tc>
          <w:p>
            <w:pPr>
              <w:pStyle w:val="Compact"/>
              <w:jc w:val="right"/>
            </w:pPr>
            <w:r>
              <w:t xml:space="preserve">13.01</w:t>
            </w:r>
          </w:p>
        </w:tc>
        <w:tc>
          <w:p>
            <w:pPr>
              <w:pStyle w:val="Compact"/>
              <w:jc w:val="right"/>
            </w:pPr>
            <w:r>
              <w:t xml:space="preserve">13.01</w:t>
            </w:r>
          </w:p>
        </w:tc>
        <w:tc>
          <w:p>
            <w:pPr>
              <w:pStyle w:val="Compact"/>
              <w:jc w:val="right"/>
            </w:pPr>
            <w:r>
              <w:t xml:space="preserve">24.52</w:t>
            </w:r>
          </w:p>
        </w:tc>
        <w:tc>
          <w:p>
            <w:pPr>
              <w:pStyle w:val="Compact"/>
              <w:jc w:val="right"/>
            </w:pPr>
            <w:r>
              <w:t xml:space="preserve">0.00</w:t>
            </w:r>
          </w:p>
        </w:tc>
      </w:tr>
      <w:tr>
        <w:tc>
          <w:p>
            <w:pPr>
              <w:pStyle w:val="Compact"/>
              <w:jc w:val="left"/>
            </w:pPr>
            <w:r>
              <w:t xml:space="preserve">Germany</w:t>
            </w:r>
          </w:p>
        </w:tc>
        <w:tc>
          <w:p>
            <w:pPr>
              <w:pStyle w:val="Compact"/>
              <w:jc w:val="right"/>
            </w:pPr>
            <w:r>
              <w:t xml:space="preserve">59.20</w:t>
            </w:r>
          </w:p>
        </w:tc>
        <w:tc>
          <w:p>
            <w:pPr>
              <w:pStyle w:val="Compact"/>
              <w:jc w:val="right"/>
            </w:pPr>
            <w:r>
              <w:t xml:space="preserve">59.20</w:t>
            </w:r>
          </w:p>
        </w:tc>
        <w:tc>
          <w:p>
            <w:pPr>
              <w:pStyle w:val="Compact"/>
              <w:jc w:val="right"/>
            </w:pPr>
            <w:r>
              <w:t xml:space="preserve">123.90</w:t>
            </w:r>
          </w:p>
        </w:tc>
        <w:tc>
          <w:p>
            <w:pPr>
              <w:pStyle w:val="Compact"/>
              <w:jc w:val="right"/>
            </w:pPr>
            <w:r>
              <w:t xml:space="preserve">0.00</w:t>
            </w:r>
          </w:p>
        </w:tc>
      </w:tr>
      <w:tr>
        <w:tc>
          <w:p>
            <w:pPr>
              <w:pStyle w:val="Compact"/>
              <w:jc w:val="left"/>
            </w:pPr>
            <w:r>
              <w:t xml:space="preserve">Greece</w:t>
            </w:r>
          </w:p>
        </w:tc>
        <w:tc>
          <w:p>
            <w:pPr>
              <w:pStyle w:val="Compact"/>
              <w:jc w:val="right"/>
            </w:pPr>
            <w:r>
              <w:t xml:space="preserve">37.49</w:t>
            </w:r>
          </w:p>
        </w:tc>
        <w:tc>
          <w:p>
            <w:pPr>
              <w:pStyle w:val="Compact"/>
              <w:jc w:val="right"/>
            </w:pPr>
            <w:r>
              <w:t xml:space="preserve">37.49</w:t>
            </w:r>
          </w:p>
        </w:tc>
        <w:tc>
          <w:p>
            <w:pPr>
              <w:pStyle w:val="Compact"/>
              <w:jc w:val="right"/>
            </w:pPr>
            <w:r>
              <w:t xml:space="preserve">97.61</w:t>
            </w:r>
          </w:p>
        </w:tc>
        <w:tc>
          <w:p>
            <w:pPr>
              <w:pStyle w:val="Compact"/>
              <w:jc w:val="right"/>
            </w:pPr>
            <w:r>
              <w:t xml:space="preserve">0.00</w:t>
            </w:r>
          </w:p>
        </w:tc>
      </w:tr>
      <w:tr>
        <w:tc>
          <w:p>
            <w:pPr>
              <w:pStyle w:val="Compact"/>
              <w:jc w:val="left"/>
            </w:pPr>
            <w:r>
              <w:t xml:space="preserve">Iceland</w:t>
            </w:r>
          </w:p>
        </w:tc>
        <w:tc>
          <w:p>
            <w:pPr>
              <w:pStyle w:val="Compact"/>
              <w:jc w:val="right"/>
            </w:pPr>
            <w:r>
              <w:t xml:space="preserve">23.74</w:t>
            </w:r>
          </w:p>
        </w:tc>
        <w:tc>
          <w:p>
            <w:pPr>
              <w:pStyle w:val="Compact"/>
              <w:jc w:val="right"/>
            </w:pPr>
            <w:r>
              <w:t xml:space="preserve">23.74</w:t>
            </w:r>
          </w:p>
        </w:tc>
        <w:tc>
          <w:p>
            <w:pPr>
              <w:pStyle w:val="Compact"/>
              <w:jc w:val="right"/>
            </w:pPr>
            <w:r>
              <w:t xml:space="preserve">52.31</w:t>
            </w:r>
          </w:p>
        </w:tc>
        <w:tc>
          <w:p>
            <w:pPr>
              <w:pStyle w:val="Compact"/>
              <w:jc w:val="right"/>
            </w:pPr>
            <w:r>
              <w:t xml:space="preserve">0.00</w:t>
            </w:r>
          </w:p>
        </w:tc>
      </w:tr>
      <w:tr>
        <w:tc>
          <w:p>
            <w:pPr>
              <w:pStyle w:val="Compact"/>
              <w:jc w:val="left"/>
            </w:pPr>
            <w:r>
              <w:t xml:space="preserve">Ireland</w:t>
            </w:r>
          </w:p>
        </w:tc>
        <w:tc>
          <w:p>
            <w:pPr>
              <w:pStyle w:val="Compact"/>
              <w:jc w:val="right"/>
            </w:pPr>
            <w:r>
              <w:t xml:space="preserve">14.76</w:t>
            </w:r>
          </w:p>
        </w:tc>
        <w:tc>
          <w:p>
            <w:pPr>
              <w:pStyle w:val="Compact"/>
              <w:jc w:val="right"/>
            </w:pPr>
            <w:r>
              <w:t xml:space="preserve">14.76</w:t>
            </w:r>
          </w:p>
        </w:tc>
        <w:tc>
          <w:p>
            <w:pPr>
              <w:pStyle w:val="Compact"/>
              <w:jc w:val="right"/>
            </w:pPr>
            <w:r>
              <w:t xml:space="preserve">31.10</w:t>
            </w:r>
          </w:p>
        </w:tc>
        <w:tc>
          <w:p>
            <w:pPr>
              <w:pStyle w:val="Compact"/>
              <w:jc w:val="right"/>
            </w:pPr>
            <w:r>
              <w:t xml:space="preserve">0.00</w:t>
            </w:r>
          </w:p>
        </w:tc>
      </w:tr>
      <w:tr>
        <w:tc>
          <w:p>
            <w:pPr>
              <w:pStyle w:val="Compact"/>
              <w:jc w:val="left"/>
            </w:pPr>
            <w:r>
              <w:t xml:space="preserve">Lithuania</w:t>
            </w:r>
          </w:p>
        </w:tc>
        <w:tc>
          <w:p>
            <w:pPr>
              <w:pStyle w:val="Compact"/>
              <w:jc w:val="right"/>
            </w:pPr>
            <w:r>
              <w:t xml:space="preserve">6.48</w:t>
            </w:r>
          </w:p>
        </w:tc>
        <w:tc>
          <w:p>
            <w:pPr>
              <w:pStyle w:val="Compact"/>
              <w:jc w:val="right"/>
            </w:pPr>
            <w:r>
              <w:t xml:space="preserve">6.48</w:t>
            </w:r>
          </w:p>
        </w:tc>
        <w:tc>
          <w:p>
            <w:pPr>
              <w:pStyle w:val="Compact"/>
              <w:jc w:val="right"/>
            </w:pPr>
            <w:r>
              <w:t xml:space="preserve">20.18</w:t>
            </w:r>
          </w:p>
        </w:tc>
        <w:tc>
          <w:p>
            <w:pPr>
              <w:pStyle w:val="Compact"/>
              <w:jc w:val="right"/>
            </w:pPr>
            <w:r>
              <w:t xml:space="preserve">0.00</w:t>
            </w:r>
          </w:p>
        </w:tc>
      </w:tr>
      <w:tr>
        <w:tc>
          <w:p>
            <w:pPr>
              <w:pStyle w:val="Compact"/>
              <w:jc w:val="left"/>
            </w:pPr>
            <w:r>
              <w:t xml:space="preserve">Netherlands</w:t>
            </w:r>
          </w:p>
        </w:tc>
        <w:tc>
          <w:p>
            <w:pPr>
              <w:pStyle w:val="Compact"/>
              <w:jc w:val="right"/>
            </w:pPr>
            <w:r>
              <w:t xml:space="preserve">48.20</w:t>
            </w:r>
          </w:p>
        </w:tc>
        <w:tc>
          <w:p>
            <w:pPr>
              <w:pStyle w:val="Compact"/>
              <w:jc w:val="right"/>
            </w:pPr>
            <w:r>
              <w:t xml:space="preserve">48.20</w:t>
            </w:r>
          </w:p>
        </w:tc>
        <w:tc>
          <w:p>
            <w:pPr>
              <w:pStyle w:val="Compact"/>
              <w:jc w:val="right"/>
            </w:pPr>
            <w:r>
              <w:t xml:space="preserve">112.92</w:t>
            </w:r>
          </w:p>
        </w:tc>
        <w:tc>
          <w:p>
            <w:pPr>
              <w:pStyle w:val="Compact"/>
              <w:jc w:val="right"/>
            </w:pPr>
            <w:r>
              <w:t xml:space="preserve">0.00</w:t>
            </w:r>
          </w:p>
        </w:tc>
      </w:tr>
      <w:tr>
        <w:tc>
          <w:p>
            <w:pPr>
              <w:pStyle w:val="Compact"/>
              <w:jc w:val="left"/>
            </w:pPr>
            <w:r>
              <w:t xml:space="preserve">Portugal</w:t>
            </w:r>
          </w:p>
        </w:tc>
        <w:tc>
          <w:p>
            <w:pPr>
              <w:pStyle w:val="Compact"/>
              <w:jc w:val="right"/>
            </w:pPr>
            <w:r>
              <w:t xml:space="preserve">106.90</w:t>
            </w:r>
          </w:p>
        </w:tc>
        <w:tc>
          <w:p>
            <w:pPr>
              <w:pStyle w:val="Compact"/>
              <w:jc w:val="right"/>
            </w:pPr>
            <w:r>
              <w:t xml:space="preserve">106.90</w:t>
            </w:r>
          </w:p>
        </w:tc>
        <w:tc>
          <w:p>
            <w:pPr>
              <w:pStyle w:val="Compact"/>
              <w:jc w:val="right"/>
            </w:pPr>
            <w:r>
              <w:t xml:space="preserve">356.72</w:t>
            </w:r>
          </w:p>
        </w:tc>
        <w:tc>
          <w:p>
            <w:pPr>
              <w:pStyle w:val="Compact"/>
              <w:jc w:val="right"/>
            </w:pPr>
            <w:r>
              <w:t xml:space="preserve">0.00</w:t>
            </w:r>
          </w:p>
        </w:tc>
      </w:tr>
      <w:tr>
        <w:tc>
          <w:p>
            <w:pPr>
              <w:pStyle w:val="Compact"/>
              <w:jc w:val="left"/>
            </w:pPr>
            <w:r>
              <w:t xml:space="preserve">Romania</w:t>
            </w:r>
          </w:p>
        </w:tc>
        <w:tc>
          <w:p>
            <w:pPr>
              <w:pStyle w:val="Compact"/>
              <w:jc w:val="right"/>
            </w:pPr>
            <w:r>
              <w:t xml:space="preserve">12.82</w:t>
            </w:r>
          </w:p>
        </w:tc>
        <w:tc>
          <w:p>
            <w:pPr>
              <w:pStyle w:val="Compact"/>
              <w:jc w:val="right"/>
            </w:pPr>
            <w:r>
              <w:t xml:space="preserve">12.82</w:t>
            </w:r>
          </w:p>
        </w:tc>
        <w:tc>
          <w:p>
            <w:pPr>
              <w:pStyle w:val="Compact"/>
              <w:jc w:val="right"/>
            </w:pPr>
            <w:r>
              <w:t xml:space="preserve">47.71</w:t>
            </w:r>
          </w:p>
        </w:tc>
        <w:tc>
          <w:p>
            <w:pPr>
              <w:pStyle w:val="Compact"/>
              <w:jc w:val="right"/>
            </w:pPr>
            <w:r>
              <w:t xml:space="preserve">0.00</w:t>
            </w:r>
          </w:p>
        </w:tc>
      </w:tr>
      <w:tr>
        <w:tc>
          <w:p>
            <w:pPr>
              <w:pStyle w:val="Compact"/>
              <w:jc w:val="left"/>
            </w:pPr>
            <w:r>
              <w:t xml:space="preserve">Russian Federation</w:t>
            </w:r>
          </w:p>
        </w:tc>
        <w:tc>
          <w:p>
            <w:pPr>
              <w:pStyle w:val="Compact"/>
              <w:jc w:val="right"/>
            </w:pPr>
            <w:r>
              <w:t xml:space="preserve">20.67</w:t>
            </w:r>
          </w:p>
        </w:tc>
        <w:tc>
          <w:p>
            <w:pPr>
              <w:pStyle w:val="Compact"/>
              <w:jc w:val="right"/>
            </w:pPr>
            <w:r>
              <w:t xml:space="preserve">20.67</w:t>
            </w:r>
          </w:p>
        </w:tc>
        <w:tc>
          <w:p>
            <w:pPr>
              <w:pStyle w:val="Compact"/>
              <w:jc w:val="right"/>
            </w:pPr>
            <w:r>
              <w:t xml:space="preserve">52.45</w:t>
            </w:r>
          </w:p>
        </w:tc>
        <w:tc>
          <w:p>
            <w:pPr>
              <w:pStyle w:val="Compact"/>
              <w:jc w:val="right"/>
            </w:pPr>
            <w:r>
              <w:t xml:space="preserve">0.00</w:t>
            </w:r>
          </w:p>
        </w:tc>
      </w:tr>
      <w:tr>
        <w:tc>
          <w:p>
            <w:pPr>
              <w:pStyle w:val="Compact"/>
              <w:jc w:val="left"/>
            </w:pPr>
            <w:r>
              <w:t xml:space="preserve">Slovenia</w:t>
            </w:r>
          </w:p>
        </w:tc>
        <w:tc>
          <w:p>
            <w:pPr>
              <w:pStyle w:val="Compact"/>
              <w:jc w:val="right"/>
            </w:pPr>
            <w:r>
              <w:t xml:space="preserve">14.62</w:t>
            </w:r>
          </w:p>
        </w:tc>
        <w:tc>
          <w:p>
            <w:pPr>
              <w:pStyle w:val="Compact"/>
              <w:jc w:val="right"/>
            </w:pPr>
            <w:r>
              <w:t xml:space="preserve">14.62</w:t>
            </w:r>
          </w:p>
        </w:tc>
        <w:tc>
          <w:p>
            <w:pPr>
              <w:pStyle w:val="Compact"/>
              <w:jc w:val="right"/>
            </w:pPr>
            <w:r>
              <w:t xml:space="preserve">41.80</w:t>
            </w:r>
          </w:p>
        </w:tc>
        <w:tc>
          <w:p>
            <w:pPr>
              <w:pStyle w:val="Compact"/>
              <w:jc w:val="right"/>
            </w:pPr>
            <w:r>
              <w:t xml:space="preserve">0.00</w:t>
            </w:r>
          </w:p>
        </w:tc>
      </w:tr>
      <w:tr>
        <w:tc>
          <w:p>
            <w:pPr>
              <w:pStyle w:val="Compact"/>
              <w:jc w:val="left"/>
            </w:pPr>
            <w:r>
              <w:t xml:space="preserve">Spain</w:t>
            </w:r>
          </w:p>
        </w:tc>
        <w:tc>
          <w:p>
            <w:pPr>
              <w:pStyle w:val="Compact"/>
              <w:jc w:val="right"/>
            </w:pPr>
            <w:r>
              <w:t xml:space="preserve">166.61</w:t>
            </w:r>
          </w:p>
        </w:tc>
        <w:tc>
          <w:p>
            <w:pPr>
              <w:pStyle w:val="Compact"/>
              <w:jc w:val="right"/>
            </w:pPr>
            <w:r>
              <w:t xml:space="preserve">166.61</w:t>
            </w:r>
          </w:p>
        </w:tc>
        <w:tc>
          <w:p>
            <w:pPr>
              <w:pStyle w:val="Compact"/>
              <w:jc w:val="right"/>
            </w:pPr>
            <w:r>
              <w:t xml:space="preserve">293.87</w:t>
            </w:r>
          </w:p>
        </w:tc>
        <w:tc>
          <w:p>
            <w:pPr>
              <w:pStyle w:val="Compact"/>
              <w:jc w:val="right"/>
            </w:pPr>
            <w:r>
              <w:t xml:space="preserve">0.00</w:t>
            </w:r>
          </w:p>
        </w:tc>
      </w:tr>
      <w:tr>
        <w:tc>
          <w:p>
            <w:pPr>
              <w:pStyle w:val="Compact"/>
              <w:jc w:val="left"/>
            </w:pPr>
            <w:r>
              <w:t xml:space="preserve">Sweden</w:t>
            </w:r>
          </w:p>
        </w:tc>
        <w:tc>
          <w:p>
            <w:pPr>
              <w:pStyle w:val="Compact"/>
              <w:jc w:val="right"/>
            </w:pPr>
            <w:r>
              <w:t xml:space="preserve">12.34</w:t>
            </w:r>
          </w:p>
        </w:tc>
        <w:tc>
          <w:p>
            <w:pPr>
              <w:pStyle w:val="Compact"/>
              <w:jc w:val="right"/>
            </w:pPr>
            <w:r>
              <w:t xml:space="preserve">12.34</w:t>
            </w:r>
          </w:p>
        </w:tc>
        <w:tc>
          <w:p>
            <w:pPr>
              <w:pStyle w:val="Compact"/>
              <w:jc w:val="right"/>
            </w:pPr>
            <w:r>
              <w:t xml:space="preserve">26.56</w:t>
            </w:r>
          </w:p>
        </w:tc>
        <w:tc>
          <w:p>
            <w:pPr>
              <w:pStyle w:val="Compact"/>
              <w:jc w:val="right"/>
            </w:pPr>
            <w:r>
              <w:t xml:space="preserve">0.00</w:t>
            </w:r>
          </w:p>
        </w:tc>
      </w:tr>
      <w:tr>
        <w:tc>
          <w:p>
            <w:pPr>
              <w:pStyle w:val="Compact"/>
              <w:jc w:val="left"/>
            </w:pPr>
            <w:r>
              <w:t xml:space="preserve">Turkey</w:t>
            </w:r>
          </w:p>
        </w:tc>
        <w:tc>
          <w:p>
            <w:pPr>
              <w:pStyle w:val="Compact"/>
              <w:jc w:val="right"/>
            </w:pPr>
            <w:r>
              <w:t xml:space="preserve">62.81</w:t>
            </w:r>
          </w:p>
        </w:tc>
        <w:tc>
          <w:p>
            <w:pPr>
              <w:pStyle w:val="Compact"/>
              <w:jc w:val="right"/>
            </w:pPr>
            <w:r>
              <w:t xml:space="preserve">62.81</w:t>
            </w:r>
          </w:p>
        </w:tc>
        <w:tc>
          <w:p>
            <w:pPr>
              <w:pStyle w:val="Compact"/>
              <w:jc w:val="right"/>
            </w:pPr>
            <w:r>
              <w:t xml:space="preserve">272.83</w:t>
            </w:r>
          </w:p>
        </w:tc>
        <w:tc>
          <w:p>
            <w:pPr>
              <w:pStyle w:val="Compact"/>
              <w:jc w:val="right"/>
            </w:pPr>
            <w:r>
              <w:t xml:space="preserve">0.00</w:t>
            </w:r>
          </w:p>
        </w:tc>
      </w:tr>
      <w:tr>
        <w:tc>
          <w:p>
            <w:pPr>
              <w:pStyle w:val="Compact"/>
              <w:jc w:val="left"/>
            </w:pPr>
            <w:r>
              <w:t xml:space="preserve">Ukraine</w:t>
            </w:r>
          </w:p>
        </w:tc>
        <w:tc>
          <w:p>
            <w:pPr>
              <w:pStyle w:val="Compact"/>
              <w:jc w:val="right"/>
            </w:pPr>
            <w:r>
              <w:t xml:space="preserve">4.34</w:t>
            </w:r>
          </w:p>
        </w:tc>
        <w:tc>
          <w:p>
            <w:pPr>
              <w:pStyle w:val="Compact"/>
              <w:jc w:val="right"/>
            </w:pPr>
            <w:r>
              <w:t xml:space="preserve">4.34</w:t>
            </w:r>
          </w:p>
        </w:tc>
        <w:tc>
          <w:p>
            <w:pPr>
              <w:pStyle w:val="Compact"/>
              <w:jc w:val="right"/>
            </w:pPr>
            <w:r>
              <w:t xml:space="preserve">9.22</w:t>
            </w:r>
          </w:p>
        </w:tc>
        <w:tc>
          <w:p>
            <w:pPr>
              <w:pStyle w:val="Compact"/>
              <w:jc w:val="right"/>
            </w:pPr>
            <w:r>
              <w:t xml:space="preserve">0.00</w:t>
            </w:r>
          </w:p>
        </w:tc>
      </w:tr>
      <w:tr>
        <w:tc>
          <w:p>
            <w:pPr>
              <w:pStyle w:val="Compact"/>
              <w:jc w:val="left"/>
            </w:pPr>
            <w:r>
              <w:t xml:space="preserve">United Kingdom</w:t>
            </w:r>
          </w:p>
        </w:tc>
        <w:tc>
          <w:p>
            <w:pPr>
              <w:pStyle w:val="Compact"/>
              <w:jc w:val="right"/>
            </w:pPr>
            <w:r>
              <w:t xml:space="preserve">28.39</w:t>
            </w:r>
          </w:p>
        </w:tc>
        <w:tc>
          <w:p>
            <w:pPr>
              <w:pStyle w:val="Compact"/>
              <w:jc w:val="right"/>
            </w:pPr>
            <w:r>
              <w:t xml:space="preserve">28.39</w:t>
            </w:r>
          </w:p>
        </w:tc>
        <w:tc>
          <w:p>
            <w:pPr>
              <w:pStyle w:val="Compact"/>
              <w:jc w:val="right"/>
            </w:pPr>
            <w:r>
              <w:t xml:space="preserve">60.97</w:t>
            </w:r>
          </w:p>
        </w:tc>
        <w:tc>
          <w:p>
            <w:pPr>
              <w:pStyle w:val="Compact"/>
              <w:jc w:val="right"/>
            </w:pPr>
            <w:r>
              <w:t xml:space="preserve">0.00</w:t>
            </w:r>
          </w:p>
        </w:tc>
      </w:tr>
      <w:tr>
        <w:tc>
          <w:p>
            <w:pPr>
              <w:pStyle w:val="Compact"/>
              <w:jc w:val="left"/>
            </w:pPr>
            <w:r>
              <w:t xml:space="preserve">Norway</w:t>
            </w:r>
          </w:p>
        </w:tc>
        <w:tc>
          <w:p>
            <w:pPr>
              <w:pStyle w:val="Compact"/>
              <w:jc w:val="right"/>
            </w:pPr>
            <w:r>
              <w:t xml:space="preserve">2.77</w:t>
            </w:r>
          </w:p>
        </w:tc>
        <w:tc>
          <w:p>
            <w:pPr>
              <w:pStyle w:val="Compact"/>
              <w:jc w:val="right"/>
            </w:pPr>
            <w:r>
              <w:t xml:space="preserve">2.77</w:t>
            </w:r>
          </w:p>
        </w:tc>
        <w:tc>
          <w:p>
            <w:pPr>
              <w:pStyle w:val="Compact"/>
              <w:jc w:val="right"/>
            </w:pPr>
            <w:r>
              <w:t xml:space="preserve">6.49</w:t>
            </w:r>
          </w:p>
        </w:tc>
        <w:tc>
          <w:p>
            <w:pPr>
              <w:pStyle w:val="Compact"/>
              <w:jc w:val="right"/>
            </w:pPr>
            <w:r>
              <w:t xml:space="preserve">0.01</w:t>
            </w:r>
          </w:p>
        </w:tc>
      </w:tr>
      <w:tr>
        <w:tc>
          <w:p>
            <w:pPr>
              <w:pStyle w:val="Compact"/>
              <w:jc w:val="left"/>
            </w:pPr>
            <w:r>
              <w:t xml:space="preserve">Poland</w:t>
            </w:r>
          </w:p>
        </w:tc>
        <w:tc>
          <w:p>
            <w:pPr>
              <w:pStyle w:val="Compact"/>
              <w:jc w:val="right"/>
            </w:pPr>
            <w:r>
              <w:t xml:space="preserve">3.08</w:t>
            </w:r>
          </w:p>
        </w:tc>
        <w:tc>
          <w:p>
            <w:pPr>
              <w:pStyle w:val="Compact"/>
              <w:jc w:val="right"/>
            </w:pPr>
            <w:r>
              <w:t xml:space="preserve">3.08</w:t>
            </w:r>
          </w:p>
        </w:tc>
        <w:tc>
          <w:p>
            <w:pPr>
              <w:pStyle w:val="Compact"/>
              <w:jc w:val="right"/>
            </w:pPr>
            <w:r>
              <w:t xml:space="preserve">7.81</w:t>
            </w:r>
          </w:p>
        </w:tc>
        <w:tc>
          <w:p>
            <w:pPr>
              <w:pStyle w:val="Compact"/>
              <w:jc w:val="right"/>
            </w:pPr>
            <w:r>
              <w:t xml:space="preserve">0.01</w:t>
            </w:r>
          </w:p>
        </w:tc>
      </w:tr>
      <w:tr>
        <w:tc>
          <w:p>
            <w:pPr>
              <w:pStyle w:val="Compact"/>
              <w:jc w:val="left"/>
            </w:pPr>
            <w:r>
              <w:t xml:space="preserve">Slovakia</w:t>
            </w:r>
          </w:p>
        </w:tc>
        <w:tc>
          <w:p>
            <w:pPr>
              <w:pStyle w:val="Compact"/>
              <w:jc w:val="right"/>
            </w:pPr>
            <w:r>
              <w:t xml:space="preserve">2.00</w:t>
            </w:r>
          </w:p>
        </w:tc>
        <w:tc>
          <w:p>
            <w:pPr>
              <w:pStyle w:val="Compact"/>
              <w:jc w:val="right"/>
            </w:pPr>
            <w:r>
              <w:t xml:space="preserve">2.00</w:t>
            </w:r>
          </w:p>
        </w:tc>
        <w:tc>
          <w:p>
            <w:pPr>
              <w:pStyle w:val="Compact"/>
              <w:jc w:val="right"/>
            </w:pPr>
            <w:r>
              <w:t xml:space="preserve">5.11</w:t>
            </w:r>
          </w:p>
        </w:tc>
        <w:tc>
          <w:p>
            <w:pPr>
              <w:pStyle w:val="Compact"/>
              <w:jc w:val="right"/>
            </w:pPr>
            <w:r>
              <w:t xml:space="preserve">0.02</w:t>
            </w:r>
          </w:p>
        </w:tc>
      </w:tr>
      <w:tr>
        <w:tc>
          <w:p>
            <w:pPr>
              <w:pStyle w:val="Compact"/>
              <w:jc w:val="left"/>
            </w:pPr>
            <w:r>
              <w:t xml:space="preserve">Switzerland</w:t>
            </w:r>
          </w:p>
        </w:tc>
        <w:tc>
          <w:p>
            <w:pPr>
              <w:pStyle w:val="Compact"/>
              <w:jc w:val="right"/>
            </w:pPr>
            <w:r>
              <w:t xml:space="preserve">2.39</w:t>
            </w:r>
          </w:p>
        </w:tc>
        <w:tc>
          <w:p>
            <w:pPr>
              <w:pStyle w:val="Compact"/>
              <w:jc w:val="right"/>
            </w:pPr>
            <w:r>
              <w:t xml:space="preserve">2.39</w:t>
            </w:r>
          </w:p>
        </w:tc>
        <w:tc>
          <w:p>
            <w:pPr>
              <w:pStyle w:val="Compact"/>
              <w:jc w:val="right"/>
            </w:pPr>
            <w:r>
              <w:t xml:space="preserve">5.37</w:t>
            </w:r>
          </w:p>
        </w:tc>
        <w:tc>
          <w:p>
            <w:pPr>
              <w:pStyle w:val="Compact"/>
              <w:jc w:val="right"/>
            </w:pPr>
            <w:r>
              <w:t xml:space="preserve">0.02</w:t>
            </w:r>
          </w:p>
        </w:tc>
      </w:tr>
      <w:tr>
        <w:tc>
          <w:p>
            <w:pPr>
              <w:pStyle w:val="Compact"/>
              <w:jc w:val="left"/>
            </w:pPr>
            <w:r>
              <w:t xml:space="preserve">Latvia</w:t>
            </w:r>
          </w:p>
        </w:tc>
        <w:tc>
          <w:p>
            <w:pPr>
              <w:pStyle w:val="Compact"/>
              <w:jc w:val="right"/>
            </w:pPr>
            <w:r>
              <w:t xml:space="preserve">1.57</w:t>
            </w:r>
          </w:p>
        </w:tc>
        <w:tc>
          <w:p>
            <w:pPr>
              <w:pStyle w:val="Compact"/>
              <w:jc w:val="right"/>
            </w:pPr>
            <w:r>
              <w:t xml:space="preserve">1.57</w:t>
            </w:r>
          </w:p>
        </w:tc>
        <w:tc>
          <w:p>
            <w:pPr>
              <w:pStyle w:val="Compact"/>
              <w:jc w:val="right"/>
            </w:pPr>
            <w:r>
              <w:t xml:space="preserve">3.32</w:t>
            </w:r>
          </w:p>
        </w:tc>
        <w:tc>
          <w:p>
            <w:pPr>
              <w:pStyle w:val="Compact"/>
              <w:jc w:val="right"/>
            </w:pPr>
            <w:r>
              <w:t xml:space="preserve">0.07</w:t>
            </w:r>
          </w:p>
        </w:tc>
      </w:tr>
      <w:tr>
        <w:tc>
          <w:p>
            <w:pPr>
              <w:pStyle w:val="Compact"/>
              <w:jc w:val="left"/>
            </w:pPr>
            <w:r>
              <w:t xml:space="preserve">Italy</w:t>
            </w:r>
          </w:p>
        </w:tc>
        <w:tc>
          <w:p>
            <w:pPr>
              <w:pStyle w:val="Compact"/>
              <w:jc w:val="right"/>
            </w:pPr>
            <w:r>
              <w:t xml:space="preserve">1.18</w:t>
            </w:r>
          </w:p>
        </w:tc>
        <w:tc>
          <w:p>
            <w:pPr>
              <w:pStyle w:val="Compact"/>
              <w:jc w:val="right"/>
            </w:pPr>
            <w:r>
              <w:t xml:space="preserve">1.18</w:t>
            </w:r>
          </w:p>
        </w:tc>
        <w:tc>
          <w:p>
            <w:pPr>
              <w:pStyle w:val="Compact"/>
              <w:jc w:val="right"/>
            </w:pPr>
            <w:r>
              <w:t xml:space="preserve">2.83</w:t>
            </w:r>
          </w:p>
        </w:tc>
        <w:tc>
          <w:p>
            <w:pPr>
              <w:pStyle w:val="Compact"/>
              <w:jc w:val="right"/>
            </w:pPr>
            <w:r>
              <w:t xml:space="preserve">0.09</w:t>
            </w:r>
          </w:p>
        </w:tc>
      </w:tr>
      <w:tr>
        <w:tc>
          <w:p>
            <w:pPr>
              <w:pStyle w:val="Compact"/>
              <w:jc w:val="left"/>
            </w:pPr>
            <w:r>
              <w:t xml:space="preserve">Austria</w:t>
            </w:r>
          </w:p>
        </w:tc>
        <w:tc>
          <w:p>
            <w:pPr>
              <w:pStyle w:val="Compact"/>
              <w:jc w:val="right"/>
            </w:pPr>
            <w:r>
              <w:t xml:space="preserve">1.21</w:t>
            </w:r>
          </w:p>
        </w:tc>
        <w:tc>
          <w:p>
            <w:pPr>
              <w:pStyle w:val="Compact"/>
              <w:jc w:val="right"/>
            </w:pPr>
            <w:r>
              <w:t xml:space="preserve">1.21</w:t>
            </w:r>
          </w:p>
        </w:tc>
        <w:tc>
          <w:p>
            <w:pPr>
              <w:pStyle w:val="Compact"/>
              <w:jc w:val="right"/>
            </w:pPr>
            <w:r>
              <w:t xml:space="preserve">2.48</w:t>
            </w:r>
          </w:p>
        </w:tc>
        <w:tc>
          <w:p>
            <w:pPr>
              <w:pStyle w:val="Compact"/>
              <w:jc w:val="right"/>
            </w:pPr>
            <w:r>
              <w:t xml:space="preserve">0.12</w:t>
            </w:r>
          </w:p>
        </w:tc>
      </w:tr>
      <w:tr>
        <w:tc>
          <w:p>
            <w:pPr>
              <w:pStyle w:val="Compact"/>
              <w:jc w:val="left"/>
            </w:pPr>
            <w:r>
              <w:t xml:space="preserve">Hungary</w:t>
            </w:r>
          </w:p>
        </w:tc>
        <w:tc>
          <w:p>
            <w:pPr>
              <w:pStyle w:val="Compact"/>
              <w:jc w:val="right"/>
            </w:pPr>
            <w:r>
              <w:t xml:space="preserve">0.17</w:t>
            </w:r>
          </w:p>
        </w:tc>
        <w:tc>
          <w:p>
            <w:pPr>
              <w:pStyle w:val="Compact"/>
              <w:jc w:val="right"/>
            </w:pPr>
            <w:r>
              <w:t xml:space="preserve">0.17</w:t>
            </w:r>
          </w:p>
        </w:tc>
        <w:tc>
          <w:p>
            <w:pPr>
              <w:pStyle w:val="Compact"/>
              <w:jc w:val="right"/>
            </w:pPr>
            <w:r>
              <w:t xml:space="preserve">0.40</w:t>
            </w:r>
          </w:p>
        </w:tc>
        <w:tc>
          <w:p>
            <w:pPr>
              <w:pStyle w:val="Compact"/>
              <w:jc w:val="right"/>
            </w:pPr>
            <w:r>
              <w:t xml:space="preserve">0.53</w:t>
            </w:r>
          </w:p>
        </w:tc>
      </w:tr>
    </w:tbl>
    <w:p>
      <w:pPr>
        <w:pStyle w:val="BodyText"/>
      </w:pPr>
      <w:r>
        <w:t xml:space="preserve">Кореляція з консерватизмом менша. Для великої частини країн вона взагалі відсутня.</w:t>
      </w:r>
    </w:p>
    <w:tbl>
      <w:tblPr>
        <w:tblStyle w:val="Table"/>
        <w:tblW w:type="pct" w:w="0.0"/>
        <w:tblLook w:firstRow="1"/>
      </w:tblPr>
      <w:tblGrid/>
      <w:tr>
        <w:trPr>
          <w:cnfStyle w:firstRow="1"/>
        </w:trPr>
        <w:tc>
          <w:tcPr>
            <w:tcBorders>
              <w:bottom w:val="single"/>
            </w:tcBorders>
            <w:vAlign w:val="bottom"/>
          </w:tcPr>
          <w:p>
            <w:pPr>
              <w:pStyle w:val="Compact"/>
              <w:jc w:val="left"/>
            </w:pPr>
            <w:r>
              <w:t xml:space="preserve">cntry</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conf.low</w:t>
            </w:r>
          </w:p>
        </w:tc>
        <w:tc>
          <w:tcPr>
            <w:tcBorders>
              <w:bottom w:val="single"/>
            </w:tcBorders>
            <w:vAlign w:val="bottom"/>
          </w:tcPr>
          <w:p>
            <w:pPr>
              <w:pStyle w:val="Compact"/>
              <w:jc w:val="right"/>
            </w:pPr>
            <w:r>
              <w:t xml:space="preserve">conf.high</w:t>
            </w:r>
          </w:p>
        </w:tc>
      </w:tr>
      <w:tr>
        <w:tc>
          <w:p>
            <w:pPr>
              <w:pStyle w:val="Compact"/>
              <w:jc w:val="left"/>
            </w:pPr>
            <w:r>
              <w:t xml:space="preserve">Turkey</w:t>
            </w:r>
          </w:p>
        </w:tc>
        <w:tc>
          <w:p>
            <w:pPr>
              <w:pStyle w:val="Compact"/>
              <w:jc w:val="right"/>
            </w:pPr>
            <w:r>
              <w:t xml:space="preserve">0.27</w:t>
            </w:r>
          </w:p>
        </w:tc>
        <w:tc>
          <w:p>
            <w:pPr>
              <w:pStyle w:val="Compact"/>
              <w:jc w:val="right"/>
            </w:pPr>
            <w:r>
              <w:t xml:space="preserve">16.99</w:t>
            </w:r>
          </w:p>
        </w:tc>
        <w:tc>
          <w:p>
            <w:pPr>
              <w:pStyle w:val="Compact"/>
              <w:jc w:val="right"/>
            </w:pPr>
            <w:r>
              <w:t xml:space="preserve">0.00</w:t>
            </w:r>
          </w:p>
        </w:tc>
        <w:tc>
          <w:p>
            <w:pPr>
              <w:pStyle w:val="Compact"/>
              <w:jc w:val="right"/>
            </w:pPr>
            <w:r>
              <w:t xml:space="preserve">3692</w:t>
            </w:r>
          </w:p>
        </w:tc>
        <w:tc>
          <w:p>
            <w:pPr>
              <w:pStyle w:val="Compact"/>
              <w:jc w:val="right"/>
            </w:pPr>
            <w:r>
              <w:t xml:space="preserve">0.24</w:t>
            </w:r>
          </w:p>
        </w:tc>
        <w:tc>
          <w:p>
            <w:pPr>
              <w:pStyle w:val="Compact"/>
              <w:jc w:val="right"/>
            </w:pPr>
            <w:r>
              <w:t xml:space="preserve">0.30</w:t>
            </w:r>
          </w:p>
        </w:tc>
      </w:tr>
      <w:tr>
        <w:tc>
          <w:p>
            <w:pPr>
              <w:pStyle w:val="Compact"/>
              <w:jc w:val="left"/>
            </w:pPr>
            <w:r>
              <w:t xml:space="preserve">Albania</w:t>
            </w:r>
          </w:p>
        </w:tc>
        <w:tc>
          <w:p>
            <w:pPr>
              <w:pStyle w:val="Compact"/>
              <w:jc w:val="right"/>
            </w:pPr>
            <w:r>
              <w:t xml:space="preserve">0.16</w:t>
            </w:r>
          </w:p>
        </w:tc>
        <w:tc>
          <w:p>
            <w:pPr>
              <w:pStyle w:val="Compact"/>
              <w:jc w:val="right"/>
            </w:pPr>
            <w:r>
              <w:t xml:space="preserve">5.14</w:t>
            </w:r>
          </w:p>
        </w:tc>
        <w:tc>
          <w:p>
            <w:pPr>
              <w:pStyle w:val="Compact"/>
              <w:jc w:val="right"/>
            </w:pPr>
            <w:r>
              <w:t xml:space="preserve">0.00</w:t>
            </w:r>
          </w:p>
        </w:tc>
        <w:tc>
          <w:p>
            <w:pPr>
              <w:pStyle w:val="Compact"/>
              <w:jc w:val="right"/>
            </w:pPr>
            <w:r>
              <w:t xml:space="preserve">993</w:t>
            </w:r>
          </w:p>
        </w:tc>
        <w:tc>
          <w:p>
            <w:pPr>
              <w:pStyle w:val="Compact"/>
              <w:jc w:val="right"/>
            </w:pPr>
            <w:r>
              <w:t xml:space="preserve">0.10</w:t>
            </w:r>
          </w:p>
        </w:tc>
        <w:tc>
          <w:p>
            <w:pPr>
              <w:pStyle w:val="Compact"/>
              <w:jc w:val="right"/>
            </w:pPr>
            <w:r>
              <w:t xml:space="preserve">0.22</w:t>
            </w:r>
          </w:p>
        </w:tc>
      </w:tr>
      <w:tr>
        <w:tc>
          <w:p>
            <w:pPr>
              <w:pStyle w:val="Compact"/>
              <w:jc w:val="left"/>
            </w:pPr>
            <w:r>
              <w:t xml:space="preserve">Latvia</w:t>
            </w:r>
          </w:p>
        </w:tc>
        <w:tc>
          <w:p>
            <w:pPr>
              <w:pStyle w:val="Compact"/>
              <w:jc w:val="right"/>
            </w:pPr>
            <w:r>
              <w:t xml:space="preserve">-0.13</w:t>
            </w:r>
          </w:p>
        </w:tc>
        <w:tc>
          <w:p>
            <w:pPr>
              <w:pStyle w:val="Compact"/>
              <w:jc w:val="right"/>
            </w:pPr>
            <w:r>
              <w:t xml:space="preserve">-5.19</w:t>
            </w:r>
          </w:p>
        </w:tc>
        <w:tc>
          <w:p>
            <w:pPr>
              <w:pStyle w:val="Compact"/>
              <w:jc w:val="right"/>
            </w:pPr>
            <w:r>
              <w:t xml:space="preserve">0.00</w:t>
            </w:r>
          </w:p>
        </w:tc>
        <w:tc>
          <w:p>
            <w:pPr>
              <w:pStyle w:val="Compact"/>
              <w:jc w:val="right"/>
            </w:pPr>
            <w:r>
              <w:t xml:space="preserve">1639</w:t>
            </w:r>
          </w:p>
        </w:tc>
        <w:tc>
          <w:p>
            <w:pPr>
              <w:pStyle w:val="Compact"/>
              <w:jc w:val="right"/>
            </w:pPr>
            <w:r>
              <w:t xml:space="preserve">-0.17</w:t>
            </w:r>
          </w:p>
        </w:tc>
        <w:tc>
          <w:p>
            <w:pPr>
              <w:pStyle w:val="Compact"/>
              <w:jc w:val="right"/>
            </w:pPr>
            <w:r>
              <w:t xml:space="preserve">-0.08</w:t>
            </w:r>
          </w:p>
        </w:tc>
      </w:tr>
      <w:tr>
        <w:tc>
          <w:p>
            <w:pPr>
              <w:pStyle w:val="Compact"/>
              <w:jc w:val="left"/>
            </w:pPr>
            <w:r>
              <w:t xml:space="preserve">Lithuania</w:t>
            </w:r>
          </w:p>
        </w:tc>
        <w:tc>
          <w:p>
            <w:pPr>
              <w:pStyle w:val="Compact"/>
              <w:jc w:val="right"/>
            </w:pPr>
            <w:r>
              <w:t xml:space="preserve">-0.13</w:t>
            </w:r>
          </w:p>
        </w:tc>
        <w:tc>
          <w:p>
            <w:pPr>
              <w:pStyle w:val="Compact"/>
              <w:jc w:val="right"/>
            </w:pPr>
            <w:r>
              <w:t xml:space="preserve">-9.49</w:t>
            </w:r>
          </w:p>
        </w:tc>
        <w:tc>
          <w:p>
            <w:pPr>
              <w:pStyle w:val="Compact"/>
              <w:jc w:val="right"/>
            </w:pPr>
            <w:r>
              <w:t xml:space="preserve">0.00</w:t>
            </w:r>
          </w:p>
        </w:tc>
        <w:tc>
          <w:p>
            <w:pPr>
              <w:pStyle w:val="Compact"/>
              <w:jc w:val="right"/>
            </w:pPr>
            <w:r>
              <w:t xml:space="preserve">5490</w:t>
            </w:r>
          </w:p>
        </w:tc>
        <w:tc>
          <w:p>
            <w:pPr>
              <w:pStyle w:val="Compact"/>
              <w:jc w:val="right"/>
            </w:pPr>
            <w:r>
              <w:t xml:space="preserve">-0.15</w:t>
            </w:r>
          </w:p>
        </w:tc>
        <w:tc>
          <w:p>
            <w:pPr>
              <w:pStyle w:val="Compact"/>
              <w:jc w:val="right"/>
            </w:pPr>
            <w:r>
              <w:t xml:space="preserve">-0.10</w:t>
            </w:r>
          </w:p>
        </w:tc>
      </w:tr>
      <w:tr>
        <w:tc>
          <w:p>
            <w:pPr>
              <w:pStyle w:val="Compact"/>
              <w:jc w:val="left"/>
            </w:pPr>
            <w:r>
              <w:t xml:space="preserve">Austria</w:t>
            </w:r>
          </w:p>
        </w:tc>
        <w:tc>
          <w:p>
            <w:pPr>
              <w:pStyle w:val="Compact"/>
              <w:jc w:val="right"/>
            </w:pPr>
            <w:r>
              <w:t xml:space="preserve">-0.12</w:t>
            </w:r>
          </w:p>
        </w:tc>
        <w:tc>
          <w:p>
            <w:pPr>
              <w:pStyle w:val="Compact"/>
              <w:jc w:val="right"/>
            </w:pPr>
            <w:r>
              <w:t xml:space="preserve">-11.29</w:t>
            </w:r>
          </w:p>
        </w:tc>
        <w:tc>
          <w:p>
            <w:pPr>
              <w:pStyle w:val="Compact"/>
              <w:jc w:val="right"/>
            </w:pPr>
            <w:r>
              <w:t xml:space="preserve">0.00</w:t>
            </w:r>
          </w:p>
        </w:tc>
        <w:tc>
          <w:p>
            <w:pPr>
              <w:pStyle w:val="Compact"/>
              <w:jc w:val="right"/>
            </w:pPr>
            <w:r>
              <w:t xml:space="preserve">9161</w:t>
            </w:r>
          </w:p>
        </w:tc>
        <w:tc>
          <w:p>
            <w:pPr>
              <w:pStyle w:val="Compact"/>
              <w:jc w:val="right"/>
            </w:pPr>
            <w:r>
              <w:t xml:space="preserve">-0.14</w:t>
            </w:r>
          </w:p>
        </w:tc>
        <w:tc>
          <w:p>
            <w:pPr>
              <w:pStyle w:val="Compact"/>
              <w:jc w:val="right"/>
            </w:pPr>
            <w:r>
              <w:t xml:space="preserve">-0.10</w:t>
            </w:r>
          </w:p>
        </w:tc>
      </w:tr>
      <w:tr>
        <w:tc>
          <w:p>
            <w:pPr>
              <w:pStyle w:val="Compact"/>
              <w:jc w:val="left"/>
            </w:pPr>
            <w:r>
              <w:t xml:space="preserve">Spain</w:t>
            </w:r>
          </w:p>
        </w:tc>
        <w:tc>
          <w:p>
            <w:pPr>
              <w:pStyle w:val="Compact"/>
              <w:jc w:val="right"/>
            </w:pPr>
            <w:r>
              <w:t xml:space="preserve">-0.12</w:t>
            </w:r>
          </w:p>
        </w:tc>
        <w:tc>
          <w:p>
            <w:pPr>
              <w:pStyle w:val="Compact"/>
              <w:jc w:val="right"/>
            </w:pPr>
            <w:r>
              <w:t xml:space="preserve">-12.98</w:t>
            </w:r>
          </w:p>
        </w:tc>
        <w:tc>
          <w:p>
            <w:pPr>
              <w:pStyle w:val="Compact"/>
              <w:jc w:val="right"/>
            </w:pPr>
            <w:r>
              <w:t xml:space="preserve">0.00</w:t>
            </w:r>
          </w:p>
        </w:tc>
        <w:tc>
          <w:p>
            <w:pPr>
              <w:pStyle w:val="Compact"/>
              <w:jc w:val="right"/>
            </w:pPr>
            <w:r>
              <w:t xml:space="preserve">11594</w:t>
            </w:r>
          </w:p>
        </w:tc>
        <w:tc>
          <w:p>
            <w:pPr>
              <w:pStyle w:val="Compact"/>
              <w:jc w:val="right"/>
            </w:pPr>
            <w:r>
              <w:t xml:space="preserve">-0.14</w:t>
            </w:r>
          </w:p>
        </w:tc>
        <w:tc>
          <w:p>
            <w:pPr>
              <w:pStyle w:val="Compact"/>
              <w:jc w:val="right"/>
            </w:pPr>
            <w:r>
              <w:t xml:space="preserve">-0.10</w:t>
            </w:r>
          </w:p>
        </w:tc>
      </w:tr>
      <w:tr>
        <w:tc>
          <w:p>
            <w:pPr>
              <w:pStyle w:val="Compact"/>
              <w:jc w:val="left"/>
            </w:pPr>
            <w:r>
              <w:t xml:space="preserve">Estonia</w:t>
            </w:r>
          </w:p>
        </w:tc>
        <w:tc>
          <w:p>
            <w:pPr>
              <w:pStyle w:val="Compact"/>
              <w:jc w:val="right"/>
            </w:pPr>
            <w:r>
              <w:t xml:space="preserve">-0.09</w:t>
            </w:r>
          </w:p>
        </w:tc>
        <w:tc>
          <w:p>
            <w:pPr>
              <w:pStyle w:val="Compact"/>
              <w:jc w:val="right"/>
            </w:pPr>
            <w:r>
              <w:t xml:space="preserve">-9.18</w:t>
            </w:r>
          </w:p>
        </w:tc>
        <w:tc>
          <w:p>
            <w:pPr>
              <w:pStyle w:val="Compact"/>
              <w:jc w:val="right"/>
            </w:pPr>
            <w:r>
              <w:t xml:space="preserve">0.00</w:t>
            </w:r>
          </w:p>
        </w:tc>
        <w:tc>
          <w:p>
            <w:pPr>
              <w:pStyle w:val="Compact"/>
              <w:jc w:val="right"/>
            </w:pPr>
            <w:r>
              <w:t xml:space="preserve">10389</w:t>
            </w:r>
          </w:p>
        </w:tc>
        <w:tc>
          <w:p>
            <w:pPr>
              <w:pStyle w:val="Compact"/>
              <w:jc w:val="right"/>
            </w:pPr>
            <w:r>
              <w:t xml:space="preserve">-0.11</w:t>
            </w:r>
          </w:p>
        </w:tc>
        <w:tc>
          <w:p>
            <w:pPr>
              <w:pStyle w:val="Compact"/>
              <w:jc w:val="right"/>
            </w:pPr>
            <w:r>
              <w:t xml:space="preserve">-0.07</w:t>
            </w:r>
          </w:p>
        </w:tc>
      </w:tr>
      <w:tr>
        <w:tc>
          <w:p>
            <w:pPr>
              <w:pStyle w:val="Compact"/>
              <w:jc w:val="left"/>
            </w:pPr>
            <w:r>
              <w:t xml:space="preserve">Slovakia</w:t>
            </w:r>
          </w:p>
        </w:tc>
        <w:tc>
          <w:p>
            <w:pPr>
              <w:pStyle w:val="Compact"/>
              <w:jc w:val="right"/>
            </w:pPr>
            <w:r>
              <w:t xml:space="preserve">-0.09</w:t>
            </w:r>
          </w:p>
        </w:tc>
        <w:tc>
          <w:p>
            <w:pPr>
              <w:pStyle w:val="Compact"/>
              <w:jc w:val="right"/>
            </w:pPr>
            <w:r>
              <w:t xml:space="preserve">-8.23</w:t>
            </w:r>
          </w:p>
        </w:tc>
        <w:tc>
          <w:p>
            <w:pPr>
              <w:pStyle w:val="Compact"/>
              <w:jc w:val="right"/>
            </w:pPr>
            <w:r>
              <w:t xml:space="preserve">0.00</w:t>
            </w:r>
          </w:p>
        </w:tc>
        <w:tc>
          <w:p>
            <w:pPr>
              <w:pStyle w:val="Compact"/>
              <w:jc w:val="right"/>
            </w:pPr>
            <w:r>
              <w:t xml:space="preserve">7789</w:t>
            </w:r>
          </w:p>
        </w:tc>
        <w:tc>
          <w:p>
            <w:pPr>
              <w:pStyle w:val="Compact"/>
              <w:jc w:val="right"/>
            </w:pPr>
            <w:r>
              <w:t xml:space="preserve">-0.11</w:t>
            </w:r>
          </w:p>
        </w:tc>
        <w:tc>
          <w:p>
            <w:pPr>
              <w:pStyle w:val="Compact"/>
              <w:jc w:val="right"/>
            </w:pPr>
            <w:r>
              <w:t xml:space="preserve">-0.07</w:t>
            </w:r>
          </w:p>
        </w:tc>
      </w:tr>
      <w:tr>
        <w:tc>
          <w:p>
            <w:pPr>
              <w:pStyle w:val="Compact"/>
              <w:jc w:val="left"/>
            </w:pPr>
            <w:r>
              <w:t xml:space="preserve">Bulgaria</w:t>
            </w:r>
          </w:p>
        </w:tc>
        <w:tc>
          <w:p>
            <w:pPr>
              <w:pStyle w:val="Compact"/>
              <w:jc w:val="right"/>
            </w:pPr>
            <w:r>
              <w:t xml:space="preserve">-0.08</w:t>
            </w:r>
          </w:p>
        </w:tc>
        <w:tc>
          <w:p>
            <w:pPr>
              <w:pStyle w:val="Compact"/>
              <w:jc w:val="right"/>
            </w:pPr>
            <w:r>
              <w:t xml:space="preserve">-6.94</w:t>
            </w:r>
          </w:p>
        </w:tc>
        <w:tc>
          <w:p>
            <w:pPr>
              <w:pStyle w:val="Compact"/>
              <w:jc w:val="right"/>
            </w:pPr>
            <w:r>
              <w:t xml:space="preserve">0.00</w:t>
            </w:r>
          </w:p>
        </w:tc>
        <w:tc>
          <w:p>
            <w:pPr>
              <w:pStyle w:val="Compact"/>
              <w:jc w:val="right"/>
            </w:pPr>
            <w:r>
              <w:t xml:space="preserve">6928</w:t>
            </w:r>
          </w:p>
        </w:tc>
        <w:tc>
          <w:p>
            <w:pPr>
              <w:pStyle w:val="Compact"/>
              <w:jc w:val="right"/>
            </w:pPr>
            <w:r>
              <w:t xml:space="preserve">-0.11</w:t>
            </w:r>
          </w:p>
        </w:tc>
        <w:tc>
          <w:p>
            <w:pPr>
              <w:pStyle w:val="Compact"/>
              <w:jc w:val="right"/>
            </w:pPr>
            <w:r>
              <w:t xml:space="preserve">-0.06</w:t>
            </w:r>
          </w:p>
        </w:tc>
      </w:tr>
      <w:tr>
        <w:tc>
          <w:p>
            <w:pPr>
              <w:pStyle w:val="Compact"/>
              <w:jc w:val="left"/>
            </w:pPr>
            <w:r>
              <w:t xml:space="preserve">Croatia</w:t>
            </w:r>
          </w:p>
        </w:tc>
        <w:tc>
          <w:p>
            <w:pPr>
              <w:pStyle w:val="Compact"/>
              <w:jc w:val="right"/>
            </w:pPr>
            <w:r>
              <w:t xml:space="preserve">-0.08</w:t>
            </w:r>
          </w:p>
        </w:tc>
        <w:tc>
          <w:p>
            <w:pPr>
              <w:pStyle w:val="Compact"/>
              <w:jc w:val="right"/>
            </w:pPr>
            <w:r>
              <w:t xml:space="preserve">-4.03</w:t>
            </w:r>
          </w:p>
        </w:tc>
        <w:tc>
          <w:p>
            <w:pPr>
              <w:pStyle w:val="Compact"/>
              <w:jc w:val="right"/>
            </w:pPr>
            <w:r>
              <w:t xml:space="preserve">0.00</w:t>
            </w:r>
          </w:p>
        </w:tc>
        <w:tc>
          <w:p>
            <w:pPr>
              <w:pStyle w:val="Compact"/>
              <w:jc w:val="right"/>
            </w:pPr>
            <w:r>
              <w:t xml:space="preserve">2445</w:t>
            </w:r>
          </w:p>
        </w:tc>
        <w:tc>
          <w:p>
            <w:pPr>
              <w:pStyle w:val="Compact"/>
              <w:jc w:val="right"/>
            </w:pPr>
            <w:r>
              <w:t xml:space="preserve">-0.12</w:t>
            </w:r>
          </w:p>
        </w:tc>
        <w:tc>
          <w:p>
            <w:pPr>
              <w:pStyle w:val="Compact"/>
              <w:jc w:val="right"/>
            </w:pPr>
            <w:r>
              <w:t xml:space="preserve">-0.04</w:t>
            </w:r>
          </w:p>
        </w:tc>
      </w:tr>
      <w:tr>
        <w:tc>
          <w:p>
            <w:pPr>
              <w:pStyle w:val="Compact"/>
              <w:jc w:val="left"/>
            </w:pPr>
            <w:r>
              <w:t xml:space="preserve">Romania</w:t>
            </w:r>
          </w:p>
        </w:tc>
        <w:tc>
          <w:p>
            <w:pPr>
              <w:pStyle w:val="Compact"/>
              <w:jc w:val="right"/>
            </w:pPr>
            <w:r>
              <w:t xml:space="preserve">0.08</w:t>
            </w:r>
          </w:p>
        </w:tc>
        <w:tc>
          <w:p>
            <w:pPr>
              <w:pStyle w:val="Compact"/>
              <w:jc w:val="right"/>
            </w:pPr>
            <w:r>
              <w:t xml:space="preserve">3.32</w:t>
            </w:r>
          </w:p>
        </w:tc>
        <w:tc>
          <w:p>
            <w:pPr>
              <w:pStyle w:val="Compact"/>
              <w:jc w:val="right"/>
            </w:pPr>
            <w:r>
              <w:t xml:space="preserve">0.00</w:t>
            </w:r>
          </w:p>
        </w:tc>
        <w:tc>
          <w:p>
            <w:pPr>
              <w:pStyle w:val="Compact"/>
              <w:jc w:val="right"/>
            </w:pPr>
            <w:r>
              <w:t xml:space="preserve">1882</w:t>
            </w:r>
          </w:p>
        </w:tc>
        <w:tc>
          <w:p>
            <w:pPr>
              <w:pStyle w:val="Compact"/>
              <w:jc w:val="right"/>
            </w:pPr>
            <w:r>
              <w:t xml:space="preserve">0.03</w:t>
            </w:r>
          </w:p>
        </w:tc>
        <w:tc>
          <w:p>
            <w:pPr>
              <w:pStyle w:val="Compact"/>
              <w:jc w:val="right"/>
            </w:pPr>
            <w:r>
              <w:t xml:space="preserve">0.12</w:t>
            </w:r>
          </w:p>
        </w:tc>
      </w:tr>
      <w:tr>
        <w:tc>
          <w:p>
            <w:pPr>
              <w:pStyle w:val="Compact"/>
              <w:jc w:val="left"/>
            </w:pPr>
            <w:r>
              <w:t xml:space="preserve">Czech Republic</w:t>
            </w:r>
          </w:p>
        </w:tc>
        <w:tc>
          <w:p>
            <w:pPr>
              <w:pStyle w:val="Compact"/>
              <w:jc w:val="right"/>
            </w:pPr>
            <w:r>
              <w:t xml:space="preserve">-0.07</w:t>
            </w:r>
          </w:p>
        </w:tc>
        <w:tc>
          <w:p>
            <w:pPr>
              <w:pStyle w:val="Compact"/>
              <w:jc w:val="right"/>
            </w:pPr>
            <w:r>
              <w:t xml:space="preserve">-7.66</w:t>
            </w:r>
          </w:p>
        </w:tc>
        <w:tc>
          <w:p>
            <w:pPr>
              <w:pStyle w:val="Compact"/>
              <w:jc w:val="right"/>
            </w:pPr>
            <w:r>
              <w:t xml:space="preserve">0.00</w:t>
            </w:r>
          </w:p>
        </w:tc>
        <w:tc>
          <w:p>
            <w:pPr>
              <w:pStyle w:val="Compact"/>
              <w:jc w:val="right"/>
            </w:pPr>
            <w:r>
              <w:t xml:space="preserve">12454</w:t>
            </w:r>
          </w:p>
        </w:tc>
        <w:tc>
          <w:p>
            <w:pPr>
              <w:pStyle w:val="Compact"/>
              <w:jc w:val="right"/>
            </w:pPr>
            <w:r>
              <w:t xml:space="preserve">-0.09</w:t>
            </w:r>
          </w:p>
        </w:tc>
        <w:tc>
          <w:p>
            <w:pPr>
              <w:pStyle w:val="Compact"/>
              <w:jc w:val="right"/>
            </w:pPr>
            <w:r>
              <w:t xml:space="preserve">-0.05</w:t>
            </w:r>
          </w:p>
        </w:tc>
      </w:tr>
      <w:tr>
        <w:tc>
          <w:p>
            <w:pPr>
              <w:pStyle w:val="Compact"/>
              <w:jc w:val="left"/>
            </w:pPr>
            <w:r>
              <w:t xml:space="preserve">Portugal</w:t>
            </w:r>
          </w:p>
        </w:tc>
        <w:tc>
          <w:p>
            <w:pPr>
              <w:pStyle w:val="Compact"/>
              <w:jc w:val="right"/>
            </w:pPr>
            <w:r>
              <w:t xml:space="preserve">0.07</w:t>
            </w:r>
          </w:p>
        </w:tc>
        <w:tc>
          <w:p>
            <w:pPr>
              <w:pStyle w:val="Compact"/>
              <w:jc w:val="right"/>
            </w:pPr>
            <w:r>
              <w:t xml:space="preserve">7.62</w:t>
            </w:r>
          </w:p>
        </w:tc>
        <w:tc>
          <w:p>
            <w:pPr>
              <w:pStyle w:val="Compact"/>
              <w:jc w:val="right"/>
            </w:pPr>
            <w:r>
              <w:t xml:space="preserve">0.00</w:t>
            </w:r>
          </w:p>
        </w:tc>
        <w:tc>
          <w:p>
            <w:pPr>
              <w:pStyle w:val="Compact"/>
              <w:jc w:val="right"/>
            </w:pPr>
            <w:r>
              <w:t xml:space="preserve">12069</w:t>
            </w:r>
          </w:p>
        </w:tc>
        <w:tc>
          <w:p>
            <w:pPr>
              <w:pStyle w:val="Compact"/>
              <w:jc w:val="right"/>
            </w:pPr>
            <w:r>
              <w:t xml:space="preserve">0.05</w:t>
            </w:r>
          </w:p>
        </w:tc>
        <w:tc>
          <w:p>
            <w:pPr>
              <w:pStyle w:val="Compact"/>
              <w:jc w:val="right"/>
            </w:pPr>
            <w:r>
              <w:t xml:space="preserve">0.09</w:t>
            </w:r>
          </w:p>
        </w:tc>
      </w:tr>
      <w:tr>
        <w:tc>
          <w:p>
            <w:pPr>
              <w:pStyle w:val="Compact"/>
              <w:jc w:val="left"/>
            </w:pPr>
            <w:r>
              <w:t xml:space="preserve">Russian Federation</w:t>
            </w:r>
          </w:p>
        </w:tc>
        <w:tc>
          <w:p>
            <w:pPr>
              <w:pStyle w:val="Compact"/>
              <w:jc w:val="right"/>
            </w:pPr>
            <w:r>
              <w:t xml:space="preserve">-0.07</w:t>
            </w:r>
          </w:p>
        </w:tc>
        <w:tc>
          <w:p>
            <w:pPr>
              <w:pStyle w:val="Compact"/>
              <w:jc w:val="right"/>
            </w:pPr>
            <w:r>
              <w:t xml:space="preserve">-6.99</w:t>
            </w:r>
          </w:p>
        </w:tc>
        <w:tc>
          <w:p>
            <w:pPr>
              <w:pStyle w:val="Compact"/>
              <w:jc w:val="right"/>
            </w:pPr>
            <w:r>
              <w:t xml:space="preserve">0.00</w:t>
            </w:r>
          </w:p>
        </w:tc>
        <w:tc>
          <w:p>
            <w:pPr>
              <w:pStyle w:val="Compact"/>
              <w:jc w:val="right"/>
            </w:pPr>
            <w:r>
              <w:t xml:space="preserve">10061</w:t>
            </w:r>
          </w:p>
        </w:tc>
        <w:tc>
          <w:p>
            <w:pPr>
              <w:pStyle w:val="Compact"/>
              <w:jc w:val="right"/>
            </w:pPr>
            <w:r>
              <w:t xml:space="preserve">-0.09</w:t>
            </w:r>
          </w:p>
        </w:tc>
        <w:tc>
          <w:p>
            <w:pPr>
              <w:pStyle w:val="Compact"/>
              <w:jc w:val="right"/>
            </w:pPr>
            <w:r>
              <w:t xml:space="preserve">-0.05</w:t>
            </w:r>
          </w:p>
        </w:tc>
      </w:tr>
      <w:tr>
        <w:tc>
          <w:p>
            <w:pPr>
              <w:pStyle w:val="Compact"/>
              <w:jc w:val="left"/>
            </w:pPr>
            <w:r>
              <w:t xml:space="preserve">Germany</w:t>
            </w:r>
          </w:p>
        </w:tc>
        <w:tc>
          <w:p>
            <w:pPr>
              <w:pStyle w:val="Compact"/>
              <w:jc w:val="right"/>
            </w:pPr>
            <w:r>
              <w:t xml:space="preserve">-0.06</w:t>
            </w:r>
          </w:p>
        </w:tc>
        <w:tc>
          <w:p>
            <w:pPr>
              <w:pStyle w:val="Compact"/>
              <w:jc w:val="right"/>
            </w:pPr>
            <w:r>
              <w:t xml:space="preserve">-8.63</w:t>
            </w:r>
          </w:p>
        </w:tc>
        <w:tc>
          <w:p>
            <w:pPr>
              <w:pStyle w:val="Compact"/>
              <w:jc w:val="right"/>
            </w:pPr>
            <w:r>
              <w:t xml:space="preserve">0.00</w:t>
            </w:r>
          </w:p>
        </w:tc>
        <w:tc>
          <w:p>
            <w:pPr>
              <w:pStyle w:val="Compact"/>
              <w:jc w:val="right"/>
            </w:pPr>
            <w:r>
              <w:t xml:space="preserve">20078</w:t>
            </w:r>
          </w:p>
        </w:tc>
        <w:tc>
          <w:p>
            <w:pPr>
              <w:pStyle w:val="Compact"/>
              <w:jc w:val="right"/>
            </w:pPr>
            <w:r>
              <w:t xml:space="preserve">-0.07</w:t>
            </w:r>
          </w:p>
        </w:tc>
        <w:tc>
          <w:p>
            <w:pPr>
              <w:pStyle w:val="Compact"/>
              <w:jc w:val="right"/>
            </w:pPr>
            <w:r>
              <w:t xml:space="preserve">-0.05</w:t>
            </w:r>
          </w:p>
        </w:tc>
      </w:tr>
      <w:tr>
        <w:tc>
          <w:p>
            <w:pPr>
              <w:pStyle w:val="Compact"/>
              <w:jc w:val="left"/>
            </w:pPr>
            <w:r>
              <w:t xml:space="preserve">Poland</w:t>
            </w:r>
          </w:p>
        </w:tc>
        <w:tc>
          <w:p>
            <w:pPr>
              <w:pStyle w:val="Compact"/>
              <w:jc w:val="right"/>
            </w:pPr>
            <w:r>
              <w:t xml:space="preserve">-0.06</w:t>
            </w:r>
          </w:p>
        </w:tc>
        <w:tc>
          <w:p>
            <w:pPr>
              <w:pStyle w:val="Compact"/>
              <w:jc w:val="right"/>
            </w:pPr>
            <w:r>
              <w:t xml:space="preserve">-6.75</w:t>
            </w:r>
          </w:p>
        </w:tc>
        <w:tc>
          <w:p>
            <w:pPr>
              <w:pStyle w:val="Compact"/>
              <w:jc w:val="right"/>
            </w:pPr>
            <w:r>
              <w:t xml:space="preserve">0.00</w:t>
            </w:r>
          </w:p>
        </w:tc>
        <w:tc>
          <w:p>
            <w:pPr>
              <w:pStyle w:val="Compact"/>
              <w:jc w:val="right"/>
            </w:pPr>
            <w:r>
              <w:t xml:space="preserve">12640</w:t>
            </w:r>
          </w:p>
        </w:tc>
        <w:tc>
          <w:p>
            <w:pPr>
              <w:pStyle w:val="Compact"/>
              <w:jc w:val="right"/>
            </w:pPr>
            <w:r>
              <w:t xml:space="preserve">-0.08</w:t>
            </w:r>
          </w:p>
        </w:tc>
        <w:tc>
          <w:p>
            <w:pPr>
              <w:pStyle w:val="Compact"/>
              <w:jc w:val="right"/>
            </w:pPr>
            <w:r>
              <w:t xml:space="preserve">-0.04</w:t>
            </w:r>
          </w:p>
        </w:tc>
      </w:tr>
      <w:tr>
        <w:tc>
          <w:p>
            <w:pPr>
              <w:pStyle w:val="Compact"/>
              <w:jc w:val="left"/>
            </w:pPr>
            <w:r>
              <w:t xml:space="preserve">Slovenia</w:t>
            </w:r>
          </w:p>
        </w:tc>
        <w:tc>
          <w:p>
            <w:pPr>
              <w:pStyle w:val="Compact"/>
              <w:jc w:val="right"/>
            </w:pPr>
            <w:r>
              <w:t xml:space="preserve">-0.06</w:t>
            </w:r>
          </w:p>
        </w:tc>
        <w:tc>
          <w:p>
            <w:pPr>
              <w:pStyle w:val="Compact"/>
              <w:jc w:val="right"/>
            </w:pPr>
            <w:r>
              <w:t xml:space="preserve">-5.84</w:t>
            </w:r>
          </w:p>
        </w:tc>
        <w:tc>
          <w:p>
            <w:pPr>
              <w:pStyle w:val="Compact"/>
              <w:jc w:val="right"/>
            </w:pPr>
            <w:r>
              <w:t xml:space="preserve">0.00</w:t>
            </w:r>
          </w:p>
        </w:tc>
        <w:tc>
          <w:p>
            <w:pPr>
              <w:pStyle w:val="Compact"/>
              <w:jc w:val="right"/>
            </w:pPr>
            <w:r>
              <w:t xml:space="preserve">9352</w:t>
            </w:r>
          </w:p>
        </w:tc>
        <w:tc>
          <w:p>
            <w:pPr>
              <w:pStyle w:val="Compact"/>
              <w:jc w:val="right"/>
            </w:pPr>
            <w:r>
              <w:t xml:space="preserve">-0.08</w:t>
            </w:r>
          </w:p>
        </w:tc>
        <w:tc>
          <w:p>
            <w:pPr>
              <w:pStyle w:val="Compact"/>
              <w:jc w:val="right"/>
            </w:pPr>
            <w:r>
              <w:t xml:space="preserve">-0.04</w:t>
            </w:r>
          </w:p>
        </w:tc>
      </w:tr>
      <w:tr>
        <w:tc>
          <w:p>
            <w:pPr>
              <w:pStyle w:val="Compact"/>
              <w:jc w:val="left"/>
            </w:pPr>
            <w:r>
              <w:t xml:space="preserve">Denmark</w:t>
            </w:r>
          </w:p>
        </w:tc>
        <w:tc>
          <w:p>
            <w:pPr>
              <w:pStyle w:val="Compact"/>
              <w:jc w:val="right"/>
            </w:pPr>
            <w:r>
              <w:t xml:space="preserve">0.05</w:t>
            </w:r>
          </w:p>
        </w:tc>
        <w:tc>
          <w:p>
            <w:pPr>
              <w:pStyle w:val="Compact"/>
              <w:jc w:val="right"/>
            </w:pPr>
            <w:r>
              <w:t xml:space="preserve">4.90</w:t>
            </w:r>
          </w:p>
        </w:tc>
        <w:tc>
          <w:p>
            <w:pPr>
              <w:pStyle w:val="Compact"/>
              <w:jc w:val="right"/>
            </w:pPr>
            <w:r>
              <w:t xml:space="preserve">0.00</w:t>
            </w:r>
          </w:p>
        </w:tc>
        <w:tc>
          <w:p>
            <w:pPr>
              <w:pStyle w:val="Compact"/>
              <w:jc w:val="right"/>
            </w:pPr>
            <w:r>
              <w:t xml:space="preserve">9489</w:t>
            </w:r>
          </w:p>
        </w:tc>
        <w:tc>
          <w:p>
            <w:pPr>
              <w:pStyle w:val="Compact"/>
              <w:jc w:val="right"/>
            </w:pPr>
            <w:r>
              <w:t xml:space="preserve">0.03</w:t>
            </w:r>
          </w:p>
        </w:tc>
        <w:tc>
          <w:p>
            <w:pPr>
              <w:pStyle w:val="Compact"/>
              <w:jc w:val="right"/>
            </w:pPr>
            <w:r>
              <w:t xml:space="preserve">0.07</w:t>
            </w:r>
          </w:p>
        </w:tc>
      </w:tr>
      <w:tr>
        <w:tc>
          <w:p>
            <w:pPr>
              <w:pStyle w:val="Compact"/>
              <w:jc w:val="left"/>
            </w:pPr>
            <w:r>
              <w:t xml:space="preserve">Greece</w:t>
            </w:r>
          </w:p>
        </w:tc>
        <w:tc>
          <w:p>
            <w:pPr>
              <w:pStyle w:val="Compact"/>
              <w:jc w:val="right"/>
            </w:pPr>
            <w:r>
              <w:t xml:space="preserve">-0.03</w:t>
            </w:r>
          </w:p>
        </w:tc>
        <w:tc>
          <w:p>
            <w:pPr>
              <w:pStyle w:val="Compact"/>
              <w:jc w:val="right"/>
            </w:pPr>
            <w:r>
              <w:t xml:space="preserve">-3.08</w:t>
            </w:r>
          </w:p>
        </w:tc>
        <w:tc>
          <w:p>
            <w:pPr>
              <w:pStyle w:val="Compact"/>
              <w:jc w:val="right"/>
            </w:pPr>
            <w:r>
              <w:t xml:space="preserve">0.00</w:t>
            </w:r>
          </w:p>
        </w:tc>
        <w:tc>
          <w:p>
            <w:pPr>
              <w:pStyle w:val="Compact"/>
              <w:jc w:val="right"/>
            </w:pPr>
            <w:r>
              <w:t xml:space="preserve">8561</w:t>
            </w:r>
          </w:p>
        </w:tc>
        <w:tc>
          <w:p>
            <w:pPr>
              <w:pStyle w:val="Compact"/>
              <w:jc w:val="right"/>
            </w:pPr>
            <w:r>
              <w:t xml:space="preserve">-0.05</w:t>
            </w:r>
          </w:p>
        </w:tc>
        <w:tc>
          <w:p>
            <w:pPr>
              <w:pStyle w:val="Compact"/>
              <w:jc w:val="right"/>
            </w:pPr>
            <w:r>
              <w:t xml:space="preserve">-0.01</w:t>
            </w:r>
          </w:p>
        </w:tc>
      </w:tr>
      <w:tr>
        <w:tc>
          <w:p>
            <w:pPr>
              <w:pStyle w:val="Compact"/>
              <w:jc w:val="left"/>
            </w:pPr>
            <w:r>
              <w:t xml:space="preserve">Netherlands</w:t>
            </w:r>
          </w:p>
        </w:tc>
        <w:tc>
          <w:p>
            <w:pPr>
              <w:pStyle w:val="Compact"/>
              <w:jc w:val="right"/>
            </w:pPr>
            <w:r>
              <w:t xml:space="preserve">0.03</w:t>
            </w:r>
          </w:p>
        </w:tc>
        <w:tc>
          <w:p>
            <w:pPr>
              <w:pStyle w:val="Compact"/>
              <w:jc w:val="right"/>
            </w:pPr>
            <w:r>
              <w:t xml:space="preserve">3.28</w:t>
            </w:r>
          </w:p>
        </w:tc>
        <w:tc>
          <w:p>
            <w:pPr>
              <w:pStyle w:val="Compact"/>
              <w:jc w:val="right"/>
            </w:pPr>
            <w:r>
              <w:t xml:space="preserve">0.00</w:t>
            </w:r>
          </w:p>
        </w:tc>
        <w:tc>
          <w:p>
            <w:pPr>
              <w:pStyle w:val="Compact"/>
              <w:jc w:val="right"/>
            </w:pPr>
            <w:r>
              <w:t xml:space="preserve">13179</w:t>
            </w:r>
          </w:p>
        </w:tc>
        <w:tc>
          <w:p>
            <w:pPr>
              <w:pStyle w:val="Compact"/>
              <w:jc w:val="right"/>
            </w:pPr>
            <w:r>
              <w:t xml:space="preserve">0.01</w:t>
            </w:r>
          </w:p>
        </w:tc>
        <w:tc>
          <w:p>
            <w:pPr>
              <w:pStyle w:val="Compact"/>
              <w:jc w:val="right"/>
            </w:pPr>
            <w:r>
              <w:t xml:space="preserve">0.05</w:t>
            </w:r>
          </w:p>
        </w:tc>
      </w:tr>
      <w:tr>
        <w:tc>
          <w:p>
            <w:pPr>
              <w:pStyle w:val="Compact"/>
              <w:jc w:val="left"/>
            </w:pPr>
            <w:r>
              <w:t xml:space="preserve">Sweden</w:t>
            </w:r>
          </w:p>
        </w:tc>
        <w:tc>
          <w:p>
            <w:pPr>
              <w:pStyle w:val="Compact"/>
              <w:jc w:val="right"/>
            </w:pPr>
            <w:r>
              <w:t xml:space="preserve">0.03</w:t>
            </w:r>
          </w:p>
        </w:tc>
        <w:tc>
          <w:p>
            <w:pPr>
              <w:pStyle w:val="Compact"/>
              <w:jc w:val="right"/>
            </w:pPr>
            <w:r>
              <w:t xml:space="preserve">3.44</w:t>
            </w:r>
          </w:p>
        </w:tc>
        <w:tc>
          <w:p>
            <w:pPr>
              <w:pStyle w:val="Compact"/>
              <w:jc w:val="right"/>
            </w:pPr>
            <w:r>
              <w:t xml:space="preserve">0.00</w:t>
            </w:r>
          </w:p>
        </w:tc>
        <w:tc>
          <w:p>
            <w:pPr>
              <w:pStyle w:val="Compact"/>
              <w:jc w:val="right"/>
            </w:pPr>
            <w:r>
              <w:t xml:space="preserve">11207</w:t>
            </w:r>
          </w:p>
        </w:tc>
        <w:tc>
          <w:p>
            <w:pPr>
              <w:pStyle w:val="Compact"/>
              <w:jc w:val="right"/>
            </w:pPr>
            <w:r>
              <w:t xml:space="preserve">0.01</w:t>
            </w:r>
          </w:p>
        </w:tc>
        <w:tc>
          <w:p>
            <w:pPr>
              <w:pStyle w:val="Compact"/>
              <w:jc w:val="right"/>
            </w:pPr>
            <w:r>
              <w:t xml:space="preserve">0.05</w:t>
            </w:r>
          </w:p>
        </w:tc>
      </w:tr>
      <w:tr>
        <w:tc>
          <w:p>
            <w:pPr>
              <w:pStyle w:val="Compact"/>
              <w:jc w:val="left"/>
            </w:pPr>
            <w:r>
              <w:t xml:space="preserve">Switzerland</w:t>
            </w:r>
          </w:p>
        </w:tc>
        <w:tc>
          <w:p>
            <w:pPr>
              <w:pStyle w:val="Compact"/>
              <w:jc w:val="right"/>
            </w:pPr>
            <w:r>
              <w:t xml:space="preserve">0.03</w:t>
            </w:r>
          </w:p>
        </w:tc>
        <w:tc>
          <w:p>
            <w:pPr>
              <w:pStyle w:val="Compact"/>
              <w:jc w:val="right"/>
            </w:pPr>
            <w:r>
              <w:t xml:space="preserve">3.11</w:t>
            </w:r>
          </w:p>
        </w:tc>
        <w:tc>
          <w:p>
            <w:pPr>
              <w:pStyle w:val="Compact"/>
              <w:jc w:val="right"/>
            </w:pPr>
            <w:r>
              <w:t xml:space="preserve">0.00</w:t>
            </w:r>
          </w:p>
        </w:tc>
        <w:tc>
          <w:p>
            <w:pPr>
              <w:pStyle w:val="Compact"/>
              <w:jc w:val="right"/>
            </w:pPr>
            <w:r>
              <w:t xml:space="preserve">10143</w:t>
            </w:r>
          </w:p>
        </w:tc>
        <w:tc>
          <w:p>
            <w:pPr>
              <w:pStyle w:val="Compact"/>
              <w:jc w:val="right"/>
            </w:pPr>
            <w:r>
              <w:t xml:space="preserve">0.01</w:t>
            </w:r>
          </w:p>
        </w:tc>
        <w:tc>
          <w:p>
            <w:pPr>
              <w:pStyle w:val="Compact"/>
              <w:jc w:val="right"/>
            </w:pPr>
            <w:r>
              <w:t xml:space="preserve">0.05</w:t>
            </w:r>
          </w:p>
        </w:tc>
      </w:tr>
      <w:tr>
        <w:tc>
          <w:p>
            <w:pPr>
              <w:pStyle w:val="Compact"/>
              <w:jc w:val="left"/>
            </w:pPr>
            <w:r>
              <w:t xml:space="preserve">Belgium</w:t>
            </w:r>
          </w:p>
        </w:tc>
        <w:tc>
          <w:p>
            <w:pPr>
              <w:pStyle w:val="Compact"/>
              <w:jc w:val="right"/>
            </w:pPr>
            <w:r>
              <w:t xml:space="preserve">-0.02</w:t>
            </w:r>
          </w:p>
        </w:tc>
        <w:tc>
          <w:p>
            <w:pPr>
              <w:pStyle w:val="Compact"/>
              <w:jc w:val="right"/>
            </w:pPr>
            <w:r>
              <w:t xml:space="preserve">-2.42</w:t>
            </w:r>
          </w:p>
        </w:tc>
        <w:tc>
          <w:p>
            <w:pPr>
              <w:pStyle w:val="Compact"/>
              <w:jc w:val="right"/>
            </w:pPr>
            <w:r>
              <w:t xml:space="preserve">0.02</w:t>
            </w:r>
          </w:p>
        </w:tc>
        <w:tc>
          <w:p>
            <w:pPr>
              <w:pStyle w:val="Compact"/>
              <w:jc w:val="right"/>
            </w:pPr>
            <w:r>
              <w:t xml:space="preserve">12337</w:t>
            </w:r>
          </w:p>
        </w:tc>
        <w:tc>
          <w:p>
            <w:pPr>
              <w:pStyle w:val="Compact"/>
              <w:jc w:val="right"/>
            </w:pPr>
            <w:r>
              <w:t xml:space="preserve">-0.04</w:t>
            </w:r>
          </w:p>
        </w:tc>
        <w:tc>
          <w:p>
            <w:pPr>
              <w:pStyle w:val="Compact"/>
              <w:jc w:val="right"/>
            </w:pPr>
            <w:r>
              <w:t xml:space="preserve">0.00</w:t>
            </w:r>
          </w:p>
        </w:tc>
      </w:tr>
      <w:tr>
        <w:tc>
          <w:p>
            <w:pPr>
              <w:pStyle w:val="Compact"/>
              <w:jc w:val="left"/>
            </w:pPr>
            <w:r>
              <w:t xml:space="preserve">Hungary</w:t>
            </w:r>
          </w:p>
        </w:tc>
        <w:tc>
          <w:p>
            <w:pPr>
              <w:pStyle w:val="Compact"/>
              <w:jc w:val="right"/>
            </w:pPr>
            <w:r>
              <w:t xml:space="preserve">-0.02</w:t>
            </w:r>
          </w:p>
        </w:tc>
        <w:tc>
          <w:p>
            <w:pPr>
              <w:pStyle w:val="Compact"/>
              <w:jc w:val="right"/>
            </w:pPr>
            <w:r>
              <w:t xml:space="preserve">-1.93</w:t>
            </w:r>
          </w:p>
        </w:tc>
        <w:tc>
          <w:p>
            <w:pPr>
              <w:pStyle w:val="Compact"/>
              <w:jc w:val="right"/>
            </w:pPr>
            <w:r>
              <w:t xml:space="preserve">0.05</w:t>
            </w:r>
          </w:p>
        </w:tc>
        <w:tc>
          <w:p>
            <w:pPr>
              <w:pStyle w:val="Compact"/>
              <w:jc w:val="right"/>
            </w:pPr>
            <w:r>
              <w:t xml:space="preserve">10249</w:t>
            </w:r>
          </w:p>
        </w:tc>
        <w:tc>
          <w:p>
            <w:pPr>
              <w:pStyle w:val="Compact"/>
              <w:jc w:val="right"/>
            </w:pPr>
            <w:r>
              <w:t xml:space="preserve">-0.04</w:t>
            </w:r>
          </w:p>
        </w:tc>
        <w:tc>
          <w:p>
            <w:pPr>
              <w:pStyle w:val="Compact"/>
              <w:jc w:val="right"/>
            </w:pPr>
            <w:r>
              <w:t xml:space="preserve">0.00</w:t>
            </w:r>
          </w:p>
        </w:tc>
      </w:tr>
      <w:tr>
        <w:tc>
          <w:p>
            <w:pPr>
              <w:pStyle w:val="Compact"/>
              <w:jc w:val="left"/>
            </w:pPr>
            <w:r>
              <w:t xml:space="preserve">Iceland</w:t>
            </w:r>
          </w:p>
        </w:tc>
        <w:tc>
          <w:p>
            <w:pPr>
              <w:pStyle w:val="Compact"/>
              <w:jc w:val="right"/>
            </w:pPr>
            <w:r>
              <w:t xml:space="preserve">0.02</w:t>
            </w:r>
          </w:p>
        </w:tc>
        <w:tc>
          <w:p>
            <w:pPr>
              <w:pStyle w:val="Compact"/>
              <w:jc w:val="right"/>
            </w:pPr>
            <w:r>
              <w:t xml:space="preserve">0.91</w:t>
            </w:r>
          </w:p>
        </w:tc>
        <w:tc>
          <w:p>
            <w:pPr>
              <w:pStyle w:val="Compact"/>
              <w:jc w:val="right"/>
            </w:pPr>
            <w:r>
              <w:t xml:space="preserve">0.36</w:t>
            </w:r>
          </w:p>
        </w:tc>
        <w:tc>
          <w:p>
            <w:pPr>
              <w:pStyle w:val="Compact"/>
              <w:jc w:val="right"/>
            </w:pPr>
            <w:r>
              <w:t xml:space="preserve">1853</w:t>
            </w:r>
          </w:p>
        </w:tc>
        <w:tc>
          <w:p>
            <w:pPr>
              <w:pStyle w:val="Compact"/>
              <w:jc w:val="right"/>
            </w:pPr>
            <w:r>
              <w:t xml:space="preserve">-0.02</w:t>
            </w:r>
          </w:p>
        </w:tc>
        <w:tc>
          <w:p>
            <w:pPr>
              <w:pStyle w:val="Compact"/>
              <w:jc w:val="right"/>
            </w:pPr>
            <w:r>
              <w:t xml:space="preserve">0.07</w:t>
            </w:r>
          </w:p>
        </w:tc>
      </w:tr>
      <w:tr>
        <w:tc>
          <w:p>
            <w:pPr>
              <w:pStyle w:val="Compact"/>
              <w:jc w:val="left"/>
            </w:pPr>
            <w:r>
              <w:t xml:space="preserve">Ireland</w:t>
            </w:r>
          </w:p>
        </w:tc>
        <w:tc>
          <w:p>
            <w:pPr>
              <w:pStyle w:val="Compact"/>
              <w:jc w:val="right"/>
            </w:pPr>
            <w:r>
              <w:t xml:space="preserve">-0.02</w:t>
            </w:r>
          </w:p>
        </w:tc>
        <w:tc>
          <w:p>
            <w:pPr>
              <w:pStyle w:val="Compact"/>
              <w:jc w:val="right"/>
            </w:pPr>
            <w:r>
              <w:t xml:space="preserve">-2.43</w:t>
            </w:r>
          </w:p>
        </w:tc>
        <w:tc>
          <w:p>
            <w:pPr>
              <w:pStyle w:val="Compact"/>
              <w:jc w:val="right"/>
            </w:pPr>
            <w:r>
              <w:t xml:space="preserve">0.02</w:t>
            </w:r>
          </w:p>
        </w:tc>
        <w:tc>
          <w:p>
            <w:pPr>
              <w:pStyle w:val="Compact"/>
              <w:jc w:val="right"/>
            </w:pPr>
            <w:r>
              <w:t xml:space="preserve">13236</w:t>
            </w:r>
          </w:p>
        </w:tc>
        <w:tc>
          <w:p>
            <w:pPr>
              <w:pStyle w:val="Compact"/>
              <w:jc w:val="right"/>
            </w:pPr>
            <w:r>
              <w:t xml:space="preserve">-0.04</w:t>
            </w:r>
          </w:p>
        </w:tc>
        <w:tc>
          <w:p>
            <w:pPr>
              <w:pStyle w:val="Compact"/>
              <w:jc w:val="right"/>
            </w:pPr>
            <w:r>
              <w:t xml:space="preserve">0.00</w:t>
            </w:r>
          </w:p>
        </w:tc>
      </w:tr>
      <w:tr>
        <w:tc>
          <w:p>
            <w:pPr>
              <w:pStyle w:val="Compact"/>
              <w:jc w:val="left"/>
            </w:pPr>
            <w:r>
              <w:t xml:space="preserve">Italy</w:t>
            </w:r>
          </w:p>
        </w:tc>
        <w:tc>
          <w:p>
            <w:pPr>
              <w:pStyle w:val="Compact"/>
              <w:jc w:val="right"/>
            </w:pPr>
            <w:r>
              <w:t xml:space="preserve">0.02</w:t>
            </w:r>
          </w:p>
        </w:tc>
        <w:tc>
          <w:p>
            <w:pPr>
              <w:pStyle w:val="Compact"/>
              <w:jc w:val="right"/>
            </w:pPr>
            <w:r>
              <w:t xml:space="preserve">0.65</w:t>
            </w:r>
          </w:p>
        </w:tc>
        <w:tc>
          <w:p>
            <w:pPr>
              <w:pStyle w:val="Compact"/>
              <w:jc w:val="right"/>
            </w:pPr>
            <w:r>
              <w:t xml:space="preserve">0.51</w:t>
            </w:r>
          </w:p>
        </w:tc>
        <w:tc>
          <w:p>
            <w:pPr>
              <w:pStyle w:val="Compact"/>
              <w:jc w:val="right"/>
            </w:pPr>
            <w:r>
              <w:t xml:space="preserve">738</w:t>
            </w:r>
          </w:p>
        </w:tc>
        <w:tc>
          <w:p>
            <w:pPr>
              <w:pStyle w:val="Compact"/>
              <w:jc w:val="right"/>
            </w:pPr>
            <w:r>
              <w:t xml:space="preserve">-0.05</w:t>
            </w:r>
          </w:p>
        </w:tc>
        <w:tc>
          <w:p>
            <w:pPr>
              <w:pStyle w:val="Compact"/>
              <w:jc w:val="right"/>
            </w:pPr>
            <w:r>
              <w:t xml:space="preserve">0.10</w:t>
            </w:r>
          </w:p>
        </w:tc>
      </w:tr>
      <w:tr>
        <w:tc>
          <w:p>
            <w:pPr>
              <w:pStyle w:val="Compact"/>
              <w:jc w:val="left"/>
            </w:pPr>
            <w:r>
              <w:t xml:space="preserve">Ukraine</w:t>
            </w:r>
          </w:p>
        </w:tc>
        <w:tc>
          <w:p>
            <w:pPr>
              <w:pStyle w:val="Compact"/>
              <w:jc w:val="right"/>
            </w:pPr>
            <w:r>
              <w:t xml:space="preserve">-0.02</w:t>
            </w:r>
          </w:p>
        </w:tc>
        <w:tc>
          <w:p>
            <w:pPr>
              <w:pStyle w:val="Compact"/>
              <w:jc w:val="right"/>
            </w:pPr>
            <w:r>
              <w:t xml:space="preserve">-1.37</w:t>
            </w:r>
          </w:p>
        </w:tc>
        <w:tc>
          <w:p>
            <w:pPr>
              <w:pStyle w:val="Compact"/>
              <w:jc w:val="right"/>
            </w:pPr>
            <w:r>
              <w:t xml:space="preserve">0.17</w:t>
            </w:r>
          </w:p>
        </w:tc>
        <w:tc>
          <w:p>
            <w:pPr>
              <w:pStyle w:val="Compact"/>
              <w:jc w:val="right"/>
            </w:pPr>
            <w:r>
              <w:t xml:space="preserve">6544</w:t>
            </w:r>
          </w:p>
        </w:tc>
        <w:tc>
          <w:p>
            <w:pPr>
              <w:pStyle w:val="Compact"/>
              <w:jc w:val="right"/>
            </w:pPr>
            <w:r>
              <w:t xml:space="preserve">-0.04</w:t>
            </w:r>
          </w:p>
        </w:tc>
        <w:tc>
          <w:p>
            <w:pPr>
              <w:pStyle w:val="Compact"/>
              <w:jc w:val="right"/>
            </w:pPr>
            <w:r>
              <w:t xml:space="preserve">0.01</w:t>
            </w:r>
          </w:p>
        </w:tc>
      </w:tr>
      <w:tr>
        <w:tc>
          <w:p>
            <w:pPr>
              <w:pStyle w:val="Compact"/>
              <w:jc w:val="left"/>
            </w:pPr>
            <w:r>
              <w:t xml:space="preserve">United Kingdom</w:t>
            </w:r>
          </w:p>
        </w:tc>
        <w:tc>
          <w:p>
            <w:pPr>
              <w:pStyle w:val="Compact"/>
              <w:jc w:val="right"/>
            </w:pPr>
            <w:r>
              <w:t xml:space="preserve">0.02</w:t>
            </w:r>
          </w:p>
        </w:tc>
        <w:tc>
          <w:p>
            <w:pPr>
              <w:pStyle w:val="Compact"/>
              <w:jc w:val="right"/>
            </w:pPr>
            <w:r>
              <w:t xml:space="preserve">2.95</w:t>
            </w:r>
          </w:p>
        </w:tc>
        <w:tc>
          <w:p>
            <w:pPr>
              <w:pStyle w:val="Compact"/>
              <w:jc w:val="right"/>
            </w:pPr>
            <w:r>
              <w:t xml:space="preserve">0.00</w:t>
            </w:r>
          </w:p>
        </w:tc>
        <w:tc>
          <w:p>
            <w:pPr>
              <w:pStyle w:val="Compact"/>
              <w:jc w:val="right"/>
            </w:pPr>
            <w:r>
              <w:t xml:space="preserve">14615</w:t>
            </w:r>
          </w:p>
        </w:tc>
        <w:tc>
          <w:p>
            <w:pPr>
              <w:pStyle w:val="Compact"/>
              <w:jc w:val="right"/>
            </w:pPr>
            <w:r>
              <w:t xml:space="preserve">0.01</w:t>
            </w:r>
          </w:p>
        </w:tc>
        <w:tc>
          <w:p>
            <w:pPr>
              <w:pStyle w:val="Compact"/>
              <w:jc w:val="right"/>
            </w:pPr>
            <w:r>
              <w:t xml:space="preserve">0.04</w:t>
            </w:r>
          </w:p>
        </w:tc>
      </w:tr>
      <w:tr>
        <w:tc>
          <w:p>
            <w:pPr>
              <w:pStyle w:val="Compact"/>
              <w:jc w:val="left"/>
            </w:pPr>
            <w:r>
              <w:t xml:space="preserve">Finland</w:t>
            </w:r>
          </w:p>
        </w:tc>
        <w:tc>
          <w:p>
            <w:pPr>
              <w:pStyle w:val="Compact"/>
              <w:jc w:val="right"/>
            </w:pPr>
            <w:r>
              <w:t xml:space="preserve">-0.01</w:t>
            </w:r>
          </w:p>
        </w:tc>
        <w:tc>
          <w:p>
            <w:pPr>
              <w:pStyle w:val="Compact"/>
              <w:jc w:val="right"/>
            </w:pPr>
            <w:r>
              <w:t xml:space="preserve">-0.96</w:t>
            </w:r>
          </w:p>
        </w:tc>
        <w:tc>
          <w:p>
            <w:pPr>
              <w:pStyle w:val="Compact"/>
              <w:jc w:val="right"/>
            </w:pPr>
            <w:r>
              <w:t xml:space="preserve">0.34</w:t>
            </w:r>
          </w:p>
        </w:tc>
        <w:tc>
          <w:p>
            <w:pPr>
              <w:pStyle w:val="Compact"/>
              <w:jc w:val="right"/>
            </w:pPr>
            <w:r>
              <w:t xml:space="preserve">13194</w:t>
            </w:r>
          </w:p>
        </w:tc>
        <w:tc>
          <w:p>
            <w:pPr>
              <w:pStyle w:val="Compact"/>
              <w:jc w:val="right"/>
            </w:pPr>
            <w:r>
              <w:t xml:space="preserve">-0.03</w:t>
            </w:r>
          </w:p>
        </w:tc>
        <w:tc>
          <w:p>
            <w:pPr>
              <w:pStyle w:val="Compact"/>
              <w:jc w:val="right"/>
            </w:pPr>
            <w:r>
              <w:t xml:space="preserve">0.01</w:t>
            </w:r>
          </w:p>
        </w:tc>
      </w:tr>
      <w:tr>
        <w:tc>
          <w:p>
            <w:pPr>
              <w:pStyle w:val="Compact"/>
              <w:jc w:val="left"/>
            </w:pPr>
            <w:r>
              <w:t xml:space="preserve">France</w:t>
            </w:r>
          </w:p>
        </w:tc>
        <w:tc>
          <w:p>
            <w:pPr>
              <w:pStyle w:val="Compact"/>
              <w:jc w:val="right"/>
            </w:pPr>
            <w:r>
              <w:t xml:space="preserve">0.01</w:t>
            </w:r>
          </w:p>
        </w:tc>
        <w:tc>
          <w:p>
            <w:pPr>
              <w:pStyle w:val="Compact"/>
              <w:jc w:val="right"/>
            </w:pPr>
            <w:r>
              <w:t xml:space="preserve">1.46</w:t>
            </w:r>
          </w:p>
        </w:tc>
        <w:tc>
          <w:p>
            <w:pPr>
              <w:pStyle w:val="Compact"/>
              <w:jc w:val="right"/>
            </w:pPr>
            <w:r>
              <w:t xml:space="preserve">0.15</w:t>
            </w:r>
          </w:p>
        </w:tc>
        <w:tc>
          <w:p>
            <w:pPr>
              <w:pStyle w:val="Compact"/>
              <w:jc w:val="right"/>
            </w:pPr>
            <w:r>
              <w:t xml:space="preserve">12791</w:t>
            </w:r>
          </w:p>
        </w:tc>
        <w:tc>
          <w:p>
            <w:pPr>
              <w:pStyle w:val="Compact"/>
              <w:jc w:val="right"/>
            </w:pPr>
            <w:r>
              <w:t xml:space="preserve">0.00</w:t>
            </w:r>
          </w:p>
        </w:tc>
        <w:tc>
          <w:p>
            <w:pPr>
              <w:pStyle w:val="Compact"/>
              <w:jc w:val="right"/>
            </w:pPr>
            <w:r>
              <w:t xml:space="preserve">0.03</w:t>
            </w:r>
          </w:p>
        </w:tc>
      </w:tr>
      <w:tr>
        <w:tc>
          <w:p>
            <w:pPr>
              <w:pStyle w:val="Compact"/>
              <w:jc w:val="left"/>
            </w:pPr>
            <w:r>
              <w:t xml:space="preserve">Norway</w:t>
            </w:r>
          </w:p>
        </w:tc>
        <w:tc>
          <w:p>
            <w:pPr>
              <w:pStyle w:val="Compact"/>
              <w:jc w:val="right"/>
            </w:pPr>
            <w:r>
              <w:t xml:space="preserve">-0.01</w:t>
            </w:r>
          </w:p>
        </w:tc>
        <w:tc>
          <w:p>
            <w:pPr>
              <w:pStyle w:val="Compact"/>
              <w:jc w:val="right"/>
            </w:pPr>
            <w:r>
              <w:t xml:space="preserve">-0.70</w:t>
            </w:r>
          </w:p>
        </w:tc>
        <w:tc>
          <w:p>
            <w:pPr>
              <w:pStyle w:val="Compact"/>
              <w:jc w:val="right"/>
            </w:pPr>
            <w:r>
              <w:t xml:space="preserve">0.49</w:t>
            </w:r>
          </w:p>
        </w:tc>
        <w:tc>
          <w:p>
            <w:pPr>
              <w:pStyle w:val="Compact"/>
              <w:jc w:val="right"/>
            </w:pPr>
            <w:r>
              <w:t xml:space="preserve">10980</w:t>
            </w:r>
          </w:p>
        </w:tc>
        <w:tc>
          <w:p>
            <w:pPr>
              <w:pStyle w:val="Compact"/>
              <w:jc w:val="right"/>
            </w:pPr>
            <w:r>
              <w:t xml:space="preserve">-0.03</w:t>
            </w:r>
          </w:p>
        </w:tc>
        <w:tc>
          <w:p>
            <w:pPr>
              <w:pStyle w:val="Compact"/>
              <w:jc w:val="right"/>
            </w:pPr>
            <w:r>
              <w:t xml:space="preserve">0.01</w:t>
            </w:r>
          </w:p>
        </w:tc>
      </w:tr>
    </w:tbl>
    <w:p>
      <w:pPr>
        <w:pStyle w:val="BodyText"/>
      </w:pPr>
      <w:r>
        <w:t xml:space="preserve">У випадку консерватизму принцип відмінності між країними менш очевидний. Найбільша позитивна кореляція у Туреччини, Албанії, Португалії та Ісландії. Найбільша негативна кореляція у Австрії, Іспанії, Німеччини та Словаччини. Цікаво, що сусідні і культурно близькі Іспанії та Португалія опинилися на різних полюсах.</w:t>
      </w:r>
    </w:p>
    <w:tbl>
      <w:tblPr>
        <w:tblStyle w:val="Table"/>
        <w:tblW w:type="pct" w:w="0.0"/>
        <w:tblLook w:firstRow="1"/>
      </w:tblPr>
      <w:tblGrid/>
      <w:tr>
        <w:trPr>
          <w:cnfStyle w:firstRow="1"/>
        </w:trPr>
        <w:tc>
          <w:tcPr>
            <w:tcBorders>
              <w:bottom w:val="single"/>
            </w:tcBorders>
            <w:vAlign w:val="bottom"/>
          </w:tcPr>
          <w:p>
            <w:pPr>
              <w:pStyle w:val="Compact"/>
              <w:jc w:val="left"/>
            </w:pPr>
            <w:r>
              <w:t xml:space="preserve">cntry</w:t>
            </w:r>
          </w:p>
        </w:tc>
        <w:tc>
          <w:tcPr>
            <w:tcBorders>
              <w:bottom w:val="single"/>
            </w:tcBorders>
            <w:vAlign w:val="bottom"/>
          </w:tcPr>
          <w:p>
            <w:pPr>
              <w:pStyle w:val="Compact"/>
              <w:jc w:val="right"/>
            </w:pPr>
            <w:r>
              <w:t xml:space="preserve">sumsq</w:t>
            </w:r>
          </w:p>
        </w:tc>
        <w:tc>
          <w:tcPr>
            <w:tcBorders>
              <w:bottom w:val="single"/>
            </w:tcBorders>
            <w:vAlign w:val="bottom"/>
          </w:tcPr>
          <w:p>
            <w:pPr>
              <w:pStyle w:val="Compact"/>
              <w:jc w:val="right"/>
            </w:pPr>
            <w:r>
              <w:t xml:space="preserve">meansq</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r>
      <w:tr>
        <w:tc>
          <w:p>
            <w:pPr>
              <w:pStyle w:val="Compact"/>
              <w:jc w:val="left"/>
            </w:pPr>
            <w:r>
              <w:t xml:space="preserve">Albania</w:t>
            </w:r>
          </w:p>
        </w:tc>
        <w:tc>
          <w:p>
            <w:pPr>
              <w:pStyle w:val="Compact"/>
              <w:jc w:val="right"/>
            </w:pPr>
            <w:r>
              <w:t xml:space="preserve">5.03</w:t>
            </w:r>
          </w:p>
        </w:tc>
        <w:tc>
          <w:p>
            <w:pPr>
              <w:pStyle w:val="Compact"/>
              <w:jc w:val="right"/>
            </w:pPr>
            <w:r>
              <w:t xml:space="preserve">5.03</w:t>
            </w:r>
          </w:p>
        </w:tc>
        <w:tc>
          <w:p>
            <w:pPr>
              <w:pStyle w:val="Compact"/>
              <w:jc w:val="right"/>
            </w:pPr>
            <w:r>
              <w:t xml:space="preserve">26.39</w:t>
            </w:r>
          </w:p>
        </w:tc>
        <w:tc>
          <w:p>
            <w:pPr>
              <w:pStyle w:val="Compact"/>
              <w:jc w:val="right"/>
            </w:pPr>
            <w:r>
              <w:t xml:space="preserve">0.00</w:t>
            </w:r>
          </w:p>
        </w:tc>
      </w:tr>
      <w:tr>
        <w:tc>
          <w:p>
            <w:pPr>
              <w:pStyle w:val="Compact"/>
              <w:jc w:val="left"/>
            </w:pPr>
            <w:r>
              <w:t xml:space="preserve">Austria</w:t>
            </w:r>
          </w:p>
        </w:tc>
        <w:tc>
          <w:p>
            <w:pPr>
              <w:pStyle w:val="Compact"/>
              <w:jc w:val="right"/>
            </w:pPr>
            <w:r>
              <w:t xml:space="preserve">53.52</w:t>
            </w:r>
          </w:p>
        </w:tc>
        <w:tc>
          <w:p>
            <w:pPr>
              <w:pStyle w:val="Compact"/>
              <w:jc w:val="right"/>
            </w:pPr>
            <w:r>
              <w:t xml:space="preserve">53.52</w:t>
            </w:r>
          </w:p>
        </w:tc>
        <w:tc>
          <w:p>
            <w:pPr>
              <w:pStyle w:val="Compact"/>
              <w:jc w:val="right"/>
            </w:pPr>
            <w:r>
              <w:t xml:space="preserve">127.44</w:t>
            </w:r>
          </w:p>
        </w:tc>
        <w:tc>
          <w:p>
            <w:pPr>
              <w:pStyle w:val="Compact"/>
              <w:jc w:val="right"/>
            </w:pPr>
            <w:r>
              <w:t xml:space="preserve">0.00</w:t>
            </w:r>
          </w:p>
        </w:tc>
      </w:tr>
      <w:tr>
        <w:tc>
          <w:p>
            <w:pPr>
              <w:pStyle w:val="Compact"/>
              <w:jc w:val="left"/>
            </w:pPr>
            <w:r>
              <w:t xml:space="preserve">Bulgaria</w:t>
            </w:r>
          </w:p>
        </w:tc>
        <w:tc>
          <w:p>
            <w:pPr>
              <w:pStyle w:val="Compact"/>
              <w:jc w:val="right"/>
            </w:pPr>
            <w:r>
              <w:t xml:space="preserve">16.41</w:t>
            </w:r>
          </w:p>
        </w:tc>
        <w:tc>
          <w:p>
            <w:pPr>
              <w:pStyle w:val="Compact"/>
              <w:jc w:val="right"/>
            </w:pPr>
            <w:r>
              <w:t xml:space="preserve">16.41</w:t>
            </w:r>
          </w:p>
        </w:tc>
        <w:tc>
          <w:p>
            <w:pPr>
              <w:pStyle w:val="Compact"/>
              <w:jc w:val="right"/>
            </w:pPr>
            <w:r>
              <w:t xml:space="preserve">48.22</w:t>
            </w:r>
          </w:p>
        </w:tc>
        <w:tc>
          <w:p>
            <w:pPr>
              <w:pStyle w:val="Compact"/>
              <w:jc w:val="right"/>
            </w:pPr>
            <w:r>
              <w:t xml:space="preserve">0.00</w:t>
            </w:r>
          </w:p>
        </w:tc>
      </w:tr>
      <w:tr>
        <w:tc>
          <w:p>
            <w:pPr>
              <w:pStyle w:val="Compact"/>
              <w:jc w:val="left"/>
            </w:pPr>
            <w:r>
              <w:t xml:space="preserve">Croatia</w:t>
            </w:r>
          </w:p>
        </w:tc>
        <w:tc>
          <w:p>
            <w:pPr>
              <w:pStyle w:val="Compact"/>
              <w:jc w:val="right"/>
            </w:pPr>
            <w:r>
              <w:t xml:space="preserve">4.90</w:t>
            </w:r>
          </w:p>
        </w:tc>
        <w:tc>
          <w:p>
            <w:pPr>
              <w:pStyle w:val="Compact"/>
              <w:jc w:val="right"/>
            </w:pPr>
            <w:r>
              <w:t xml:space="preserve">4.90</w:t>
            </w:r>
          </w:p>
        </w:tc>
        <w:tc>
          <w:p>
            <w:pPr>
              <w:pStyle w:val="Compact"/>
              <w:jc w:val="right"/>
            </w:pPr>
            <w:r>
              <w:t xml:space="preserve">16.23</w:t>
            </w:r>
          </w:p>
        </w:tc>
        <w:tc>
          <w:p>
            <w:pPr>
              <w:pStyle w:val="Compact"/>
              <w:jc w:val="right"/>
            </w:pPr>
            <w:r>
              <w:t xml:space="preserve">0.00</w:t>
            </w:r>
          </w:p>
        </w:tc>
      </w:tr>
      <w:tr>
        <w:tc>
          <w:p>
            <w:pPr>
              <w:pStyle w:val="Compact"/>
              <w:jc w:val="left"/>
            </w:pPr>
            <w:r>
              <w:t xml:space="preserve">Czech Republic</w:t>
            </w:r>
          </w:p>
        </w:tc>
        <w:tc>
          <w:p>
            <w:pPr>
              <w:pStyle w:val="Compact"/>
              <w:jc w:val="right"/>
            </w:pPr>
            <w:r>
              <w:t xml:space="preserve">18.93</w:t>
            </w:r>
          </w:p>
        </w:tc>
        <w:tc>
          <w:p>
            <w:pPr>
              <w:pStyle w:val="Compact"/>
              <w:jc w:val="right"/>
            </w:pPr>
            <w:r>
              <w:t xml:space="preserve">18.93</w:t>
            </w:r>
          </w:p>
        </w:tc>
        <w:tc>
          <w:p>
            <w:pPr>
              <w:pStyle w:val="Compact"/>
              <w:jc w:val="right"/>
            </w:pPr>
            <w:r>
              <w:t xml:space="preserve">58.72</w:t>
            </w:r>
          </w:p>
        </w:tc>
        <w:tc>
          <w:p>
            <w:pPr>
              <w:pStyle w:val="Compact"/>
              <w:jc w:val="right"/>
            </w:pPr>
            <w:r>
              <w:t xml:space="preserve">0.00</w:t>
            </w:r>
          </w:p>
        </w:tc>
      </w:tr>
      <w:tr>
        <w:tc>
          <w:p>
            <w:pPr>
              <w:pStyle w:val="Compact"/>
              <w:jc w:val="left"/>
            </w:pPr>
            <w:r>
              <w:t xml:space="preserve">Denmark</w:t>
            </w:r>
          </w:p>
        </w:tc>
        <w:tc>
          <w:p>
            <w:pPr>
              <w:pStyle w:val="Compact"/>
              <w:jc w:val="right"/>
            </w:pPr>
            <w:r>
              <w:t xml:space="preserve">9.71</w:t>
            </w:r>
          </w:p>
        </w:tc>
        <w:tc>
          <w:p>
            <w:pPr>
              <w:pStyle w:val="Compact"/>
              <w:jc w:val="right"/>
            </w:pPr>
            <w:r>
              <w:t xml:space="preserve">9.71</w:t>
            </w:r>
          </w:p>
        </w:tc>
        <w:tc>
          <w:p>
            <w:pPr>
              <w:pStyle w:val="Compact"/>
              <w:jc w:val="right"/>
            </w:pPr>
            <w:r>
              <w:t xml:space="preserve">24.03</w:t>
            </w:r>
          </w:p>
        </w:tc>
        <w:tc>
          <w:p>
            <w:pPr>
              <w:pStyle w:val="Compact"/>
              <w:jc w:val="right"/>
            </w:pPr>
            <w:r>
              <w:t xml:space="preserve">0.00</w:t>
            </w:r>
          </w:p>
        </w:tc>
      </w:tr>
      <w:tr>
        <w:tc>
          <w:p>
            <w:pPr>
              <w:pStyle w:val="Compact"/>
              <w:jc w:val="left"/>
            </w:pPr>
            <w:r>
              <w:t xml:space="preserve">Estonia</w:t>
            </w:r>
          </w:p>
        </w:tc>
        <w:tc>
          <w:p>
            <w:pPr>
              <w:pStyle w:val="Compact"/>
              <w:jc w:val="right"/>
            </w:pPr>
            <w:r>
              <w:t xml:space="preserve">23.54</w:t>
            </w:r>
          </w:p>
        </w:tc>
        <w:tc>
          <w:p>
            <w:pPr>
              <w:pStyle w:val="Compact"/>
              <w:jc w:val="right"/>
            </w:pPr>
            <w:r>
              <w:t xml:space="preserve">23.54</w:t>
            </w:r>
          </w:p>
        </w:tc>
        <w:tc>
          <w:p>
            <w:pPr>
              <w:pStyle w:val="Compact"/>
              <w:jc w:val="right"/>
            </w:pPr>
            <w:r>
              <w:t xml:space="preserve">84.25</w:t>
            </w:r>
          </w:p>
        </w:tc>
        <w:tc>
          <w:p>
            <w:pPr>
              <w:pStyle w:val="Compact"/>
              <w:jc w:val="right"/>
            </w:pPr>
            <w:r>
              <w:t xml:space="preserve">0.00</w:t>
            </w:r>
          </w:p>
        </w:tc>
      </w:tr>
      <w:tr>
        <w:tc>
          <w:p>
            <w:pPr>
              <w:pStyle w:val="Compact"/>
              <w:jc w:val="left"/>
            </w:pPr>
            <w:r>
              <w:t xml:space="preserve">Germany</w:t>
            </w:r>
          </w:p>
        </w:tc>
        <w:tc>
          <w:p>
            <w:pPr>
              <w:pStyle w:val="Compact"/>
              <w:jc w:val="right"/>
            </w:pPr>
            <w:r>
              <w:t xml:space="preserve">26.87</w:t>
            </w:r>
          </w:p>
        </w:tc>
        <w:tc>
          <w:p>
            <w:pPr>
              <w:pStyle w:val="Compact"/>
              <w:jc w:val="right"/>
            </w:pPr>
            <w:r>
              <w:t xml:space="preserve">26.87</w:t>
            </w:r>
          </w:p>
        </w:tc>
        <w:tc>
          <w:p>
            <w:pPr>
              <w:pStyle w:val="Compact"/>
              <w:jc w:val="right"/>
            </w:pPr>
            <w:r>
              <w:t xml:space="preserve">74.50</w:t>
            </w:r>
          </w:p>
        </w:tc>
        <w:tc>
          <w:p>
            <w:pPr>
              <w:pStyle w:val="Compact"/>
              <w:jc w:val="right"/>
            </w:pPr>
            <w:r>
              <w:t xml:space="preserve">0.00</w:t>
            </w:r>
          </w:p>
        </w:tc>
      </w:tr>
      <w:tr>
        <w:tc>
          <w:p>
            <w:pPr>
              <w:pStyle w:val="Compact"/>
              <w:jc w:val="left"/>
            </w:pPr>
            <w:r>
              <w:t xml:space="preserve">Greece</w:t>
            </w:r>
          </w:p>
        </w:tc>
        <w:tc>
          <w:p>
            <w:pPr>
              <w:pStyle w:val="Compact"/>
              <w:jc w:val="right"/>
            </w:pPr>
            <w:r>
              <w:t xml:space="preserve">2.35</w:t>
            </w:r>
          </w:p>
        </w:tc>
        <w:tc>
          <w:p>
            <w:pPr>
              <w:pStyle w:val="Compact"/>
              <w:jc w:val="right"/>
            </w:pPr>
            <w:r>
              <w:t xml:space="preserve">2.35</w:t>
            </w:r>
          </w:p>
        </w:tc>
        <w:tc>
          <w:p>
            <w:pPr>
              <w:pStyle w:val="Compact"/>
              <w:jc w:val="right"/>
            </w:pPr>
            <w:r>
              <w:t xml:space="preserve">9.46</w:t>
            </w:r>
          </w:p>
        </w:tc>
        <w:tc>
          <w:p>
            <w:pPr>
              <w:pStyle w:val="Compact"/>
              <w:jc w:val="right"/>
            </w:pPr>
            <w:r>
              <w:t xml:space="preserve">0.00</w:t>
            </w:r>
          </w:p>
        </w:tc>
      </w:tr>
      <w:tr>
        <w:tc>
          <w:p>
            <w:pPr>
              <w:pStyle w:val="Compact"/>
              <w:jc w:val="left"/>
            </w:pPr>
            <w:r>
              <w:t xml:space="preserve">Latvia</w:t>
            </w:r>
          </w:p>
        </w:tc>
        <w:tc>
          <w:p>
            <w:pPr>
              <w:pStyle w:val="Compact"/>
              <w:jc w:val="right"/>
            </w:pPr>
            <w:r>
              <w:t xml:space="preserve">7.65</w:t>
            </w:r>
          </w:p>
        </w:tc>
        <w:tc>
          <w:p>
            <w:pPr>
              <w:pStyle w:val="Compact"/>
              <w:jc w:val="right"/>
            </w:pPr>
            <w:r>
              <w:t xml:space="preserve">7.65</w:t>
            </w:r>
          </w:p>
        </w:tc>
        <w:tc>
          <w:p>
            <w:pPr>
              <w:pStyle w:val="Compact"/>
              <w:jc w:val="right"/>
            </w:pPr>
            <w:r>
              <w:t xml:space="preserve">26.95</w:t>
            </w:r>
          </w:p>
        </w:tc>
        <w:tc>
          <w:p>
            <w:pPr>
              <w:pStyle w:val="Compact"/>
              <w:jc w:val="right"/>
            </w:pPr>
            <w:r>
              <w:t xml:space="preserve">0.00</w:t>
            </w:r>
          </w:p>
        </w:tc>
      </w:tr>
      <w:tr>
        <w:tc>
          <w:p>
            <w:pPr>
              <w:pStyle w:val="Compact"/>
              <w:jc w:val="left"/>
            </w:pPr>
            <w:r>
              <w:t xml:space="preserve">Lithuania</w:t>
            </w:r>
          </w:p>
        </w:tc>
        <w:tc>
          <w:p>
            <w:pPr>
              <w:pStyle w:val="Compact"/>
              <w:jc w:val="right"/>
            </w:pPr>
            <w:r>
              <w:t xml:space="preserve">25.52</w:t>
            </w:r>
          </w:p>
        </w:tc>
        <w:tc>
          <w:p>
            <w:pPr>
              <w:pStyle w:val="Compact"/>
              <w:jc w:val="right"/>
            </w:pPr>
            <w:r>
              <w:t xml:space="preserve">25.52</w:t>
            </w:r>
          </w:p>
        </w:tc>
        <w:tc>
          <w:p>
            <w:pPr>
              <w:pStyle w:val="Compact"/>
              <w:jc w:val="right"/>
            </w:pPr>
            <w:r>
              <w:t xml:space="preserve">90.12</w:t>
            </w:r>
          </w:p>
        </w:tc>
        <w:tc>
          <w:p>
            <w:pPr>
              <w:pStyle w:val="Compact"/>
              <w:jc w:val="right"/>
            </w:pPr>
            <w:r>
              <w:t xml:space="preserve">0.00</w:t>
            </w:r>
          </w:p>
        </w:tc>
      </w:tr>
      <w:tr>
        <w:tc>
          <w:p>
            <w:pPr>
              <w:pStyle w:val="Compact"/>
              <w:jc w:val="left"/>
            </w:pPr>
            <w:r>
              <w:t xml:space="preserve">Netherlands</w:t>
            </w:r>
          </w:p>
        </w:tc>
        <w:tc>
          <w:p>
            <w:pPr>
              <w:pStyle w:val="Compact"/>
              <w:jc w:val="right"/>
            </w:pPr>
            <w:r>
              <w:t xml:space="preserve">3.39</w:t>
            </w:r>
          </w:p>
        </w:tc>
        <w:tc>
          <w:p>
            <w:pPr>
              <w:pStyle w:val="Compact"/>
              <w:jc w:val="right"/>
            </w:pPr>
            <w:r>
              <w:t xml:space="preserve">3.39</w:t>
            </w:r>
          </w:p>
        </w:tc>
        <w:tc>
          <w:p>
            <w:pPr>
              <w:pStyle w:val="Compact"/>
              <w:jc w:val="right"/>
            </w:pPr>
            <w:r>
              <w:t xml:space="preserve">10.78</w:t>
            </w:r>
          </w:p>
        </w:tc>
        <w:tc>
          <w:p>
            <w:pPr>
              <w:pStyle w:val="Compact"/>
              <w:jc w:val="right"/>
            </w:pPr>
            <w:r>
              <w:t xml:space="preserve">0.00</w:t>
            </w:r>
          </w:p>
        </w:tc>
      </w:tr>
      <w:tr>
        <w:tc>
          <w:p>
            <w:pPr>
              <w:pStyle w:val="Compact"/>
              <w:jc w:val="left"/>
            </w:pPr>
            <w:r>
              <w:t xml:space="preserve">Poland</w:t>
            </w:r>
          </w:p>
        </w:tc>
        <w:tc>
          <w:p>
            <w:pPr>
              <w:pStyle w:val="Compact"/>
              <w:jc w:val="right"/>
            </w:pPr>
            <w:r>
              <w:t xml:space="preserve">12.25</w:t>
            </w:r>
          </w:p>
        </w:tc>
        <w:tc>
          <w:p>
            <w:pPr>
              <w:pStyle w:val="Compact"/>
              <w:jc w:val="right"/>
            </w:pPr>
            <w:r>
              <w:t xml:space="preserve">12.25</w:t>
            </w:r>
          </w:p>
        </w:tc>
        <w:tc>
          <w:p>
            <w:pPr>
              <w:pStyle w:val="Compact"/>
              <w:jc w:val="right"/>
            </w:pPr>
            <w:r>
              <w:t xml:space="preserve">45.63</w:t>
            </w:r>
          </w:p>
        </w:tc>
        <w:tc>
          <w:p>
            <w:pPr>
              <w:pStyle w:val="Compact"/>
              <w:jc w:val="right"/>
            </w:pPr>
            <w:r>
              <w:t xml:space="preserve">0.00</w:t>
            </w:r>
          </w:p>
        </w:tc>
      </w:tr>
      <w:tr>
        <w:tc>
          <w:p>
            <w:pPr>
              <w:pStyle w:val="Compact"/>
              <w:jc w:val="left"/>
            </w:pPr>
            <w:r>
              <w:t xml:space="preserve">Portugal</w:t>
            </w:r>
          </w:p>
        </w:tc>
        <w:tc>
          <w:p>
            <w:pPr>
              <w:pStyle w:val="Compact"/>
              <w:jc w:val="right"/>
            </w:pPr>
            <w:r>
              <w:t xml:space="preserve">13.13</w:t>
            </w:r>
          </w:p>
        </w:tc>
        <w:tc>
          <w:p>
            <w:pPr>
              <w:pStyle w:val="Compact"/>
              <w:jc w:val="right"/>
            </w:pPr>
            <w:r>
              <w:t xml:space="preserve">13.13</w:t>
            </w:r>
          </w:p>
        </w:tc>
        <w:tc>
          <w:p>
            <w:pPr>
              <w:pStyle w:val="Compact"/>
              <w:jc w:val="right"/>
            </w:pPr>
            <w:r>
              <w:t xml:space="preserve">58.13</w:t>
            </w:r>
          </w:p>
        </w:tc>
        <w:tc>
          <w:p>
            <w:pPr>
              <w:pStyle w:val="Compact"/>
              <w:jc w:val="right"/>
            </w:pPr>
            <w:r>
              <w:t xml:space="preserve">0.00</w:t>
            </w:r>
          </w:p>
        </w:tc>
      </w:tr>
      <w:tr>
        <w:tc>
          <w:p>
            <w:pPr>
              <w:pStyle w:val="Compact"/>
              <w:jc w:val="left"/>
            </w:pPr>
            <w:r>
              <w:t xml:space="preserve">Romania</w:t>
            </w:r>
          </w:p>
        </w:tc>
        <w:tc>
          <w:p>
            <w:pPr>
              <w:pStyle w:val="Compact"/>
              <w:jc w:val="right"/>
            </w:pPr>
            <w:r>
              <w:t xml:space="preserve">2.80</w:t>
            </w:r>
          </w:p>
        </w:tc>
        <w:tc>
          <w:p>
            <w:pPr>
              <w:pStyle w:val="Compact"/>
              <w:jc w:val="right"/>
            </w:pPr>
            <w:r>
              <w:t xml:space="preserve">2.80</w:t>
            </w:r>
          </w:p>
        </w:tc>
        <w:tc>
          <w:p>
            <w:pPr>
              <w:pStyle w:val="Compact"/>
              <w:jc w:val="right"/>
            </w:pPr>
            <w:r>
              <w:t xml:space="preserve">11.05</w:t>
            </w:r>
          </w:p>
        </w:tc>
        <w:tc>
          <w:p>
            <w:pPr>
              <w:pStyle w:val="Compact"/>
              <w:jc w:val="right"/>
            </w:pPr>
            <w:r>
              <w:t xml:space="preserve">0.00</w:t>
            </w:r>
          </w:p>
        </w:tc>
      </w:tr>
      <w:tr>
        <w:tc>
          <w:p>
            <w:pPr>
              <w:pStyle w:val="Compact"/>
              <w:jc w:val="left"/>
            </w:pPr>
            <w:r>
              <w:t xml:space="preserve">Russian Federation</w:t>
            </w:r>
          </w:p>
        </w:tc>
        <w:tc>
          <w:p>
            <w:pPr>
              <w:pStyle w:val="Compact"/>
              <w:jc w:val="right"/>
            </w:pPr>
            <w:r>
              <w:t xml:space="preserve">14.85</w:t>
            </w:r>
          </w:p>
        </w:tc>
        <w:tc>
          <w:p>
            <w:pPr>
              <w:pStyle w:val="Compact"/>
              <w:jc w:val="right"/>
            </w:pPr>
            <w:r>
              <w:t xml:space="preserve">14.85</w:t>
            </w:r>
          </w:p>
        </w:tc>
        <w:tc>
          <w:p>
            <w:pPr>
              <w:pStyle w:val="Compact"/>
              <w:jc w:val="right"/>
            </w:pPr>
            <w:r>
              <w:t xml:space="preserve">48.81</w:t>
            </w:r>
          </w:p>
        </w:tc>
        <w:tc>
          <w:p>
            <w:pPr>
              <w:pStyle w:val="Compact"/>
              <w:jc w:val="right"/>
            </w:pPr>
            <w:r>
              <w:t xml:space="preserve">0.00</w:t>
            </w:r>
          </w:p>
        </w:tc>
      </w:tr>
      <w:tr>
        <w:tc>
          <w:p>
            <w:pPr>
              <w:pStyle w:val="Compact"/>
              <w:jc w:val="left"/>
            </w:pPr>
            <w:r>
              <w:t xml:space="preserve">Slovakia</w:t>
            </w:r>
          </w:p>
        </w:tc>
        <w:tc>
          <w:p>
            <w:pPr>
              <w:pStyle w:val="Compact"/>
              <w:jc w:val="right"/>
            </w:pPr>
            <w:r>
              <w:t xml:space="preserve">19.16</w:t>
            </w:r>
          </w:p>
        </w:tc>
        <w:tc>
          <w:p>
            <w:pPr>
              <w:pStyle w:val="Compact"/>
              <w:jc w:val="right"/>
            </w:pPr>
            <w:r>
              <w:t xml:space="preserve">19.16</w:t>
            </w:r>
          </w:p>
        </w:tc>
        <w:tc>
          <w:p>
            <w:pPr>
              <w:pStyle w:val="Compact"/>
              <w:jc w:val="right"/>
            </w:pPr>
            <w:r>
              <w:t xml:space="preserve">67.69</w:t>
            </w:r>
          </w:p>
        </w:tc>
        <w:tc>
          <w:p>
            <w:pPr>
              <w:pStyle w:val="Compact"/>
              <w:jc w:val="right"/>
            </w:pPr>
            <w:r>
              <w:t xml:space="preserve">0.00</w:t>
            </w:r>
          </w:p>
        </w:tc>
      </w:tr>
      <w:tr>
        <w:tc>
          <w:p>
            <w:pPr>
              <w:pStyle w:val="Compact"/>
              <w:jc w:val="left"/>
            </w:pPr>
            <w:r>
              <w:t xml:space="preserve">Slovenia</w:t>
            </w:r>
          </w:p>
        </w:tc>
        <w:tc>
          <w:p>
            <w:pPr>
              <w:pStyle w:val="Compact"/>
              <w:jc w:val="right"/>
            </w:pPr>
            <w:r>
              <w:t xml:space="preserve">8.46</w:t>
            </w:r>
          </w:p>
        </w:tc>
        <w:tc>
          <w:p>
            <w:pPr>
              <w:pStyle w:val="Compact"/>
              <w:jc w:val="right"/>
            </w:pPr>
            <w:r>
              <w:t xml:space="preserve">8.46</w:t>
            </w:r>
          </w:p>
        </w:tc>
        <w:tc>
          <w:p>
            <w:pPr>
              <w:pStyle w:val="Compact"/>
              <w:jc w:val="right"/>
            </w:pPr>
            <w:r>
              <w:t xml:space="preserve">34.08</w:t>
            </w:r>
          </w:p>
        </w:tc>
        <w:tc>
          <w:p>
            <w:pPr>
              <w:pStyle w:val="Compact"/>
              <w:jc w:val="right"/>
            </w:pPr>
            <w:r>
              <w:t xml:space="preserve">0.00</w:t>
            </w:r>
          </w:p>
        </w:tc>
      </w:tr>
      <w:tr>
        <w:tc>
          <w:p>
            <w:pPr>
              <w:pStyle w:val="Compact"/>
              <w:jc w:val="left"/>
            </w:pPr>
            <w:r>
              <w:t xml:space="preserve">Spain</w:t>
            </w:r>
          </w:p>
        </w:tc>
        <w:tc>
          <w:p>
            <w:pPr>
              <w:pStyle w:val="Compact"/>
              <w:jc w:val="right"/>
            </w:pPr>
            <w:r>
              <w:t xml:space="preserve">49.72</w:t>
            </w:r>
          </w:p>
        </w:tc>
        <w:tc>
          <w:p>
            <w:pPr>
              <w:pStyle w:val="Compact"/>
              <w:jc w:val="right"/>
            </w:pPr>
            <w:r>
              <w:t xml:space="preserve">49.72</w:t>
            </w:r>
          </w:p>
        </w:tc>
        <w:tc>
          <w:p>
            <w:pPr>
              <w:pStyle w:val="Compact"/>
              <w:jc w:val="right"/>
            </w:pPr>
            <w:r>
              <w:t xml:space="preserve">168.47</w:t>
            </w:r>
          </w:p>
        </w:tc>
        <w:tc>
          <w:p>
            <w:pPr>
              <w:pStyle w:val="Compact"/>
              <w:jc w:val="right"/>
            </w:pPr>
            <w:r>
              <w:t xml:space="preserve">0.00</w:t>
            </w:r>
          </w:p>
        </w:tc>
      </w:tr>
      <w:tr>
        <w:tc>
          <w:p>
            <w:pPr>
              <w:pStyle w:val="Compact"/>
              <w:jc w:val="left"/>
            </w:pPr>
            <w:r>
              <w:t xml:space="preserve">Sweden</w:t>
            </w:r>
          </w:p>
        </w:tc>
        <w:tc>
          <w:p>
            <w:pPr>
              <w:pStyle w:val="Compact"/>
              <w:jc w:val="right"/>
            </w:pPr>
            <w:r>
              <w:t xml:space="preserve">4.02</w:t>
            </w:r>
          </w:p>
        </w:tc>
        <w:tc>
          <w:p>
            <w:pPr>
              <w:pStyle w:val="Compact"/>
              <w:jc w:val="right"/>
            </w:pPr>
            <w:r>
              <w:t xml:space="preserve">4.02</w:t>
            </w:r>
          </w:p>
        </w:tc>
        <w:tc>
          <w:p>
            <w:pPr>
              <w:pStyle w:val="Compact"/>
              <w:jc w:val="right"/>
            </w:pPr>
            <w:r>
              <w:t xml:space="preserve">11.80</w:t>
            </w:r>
          </w:p>
        </w:tc>
        <w:tc>
          <w:p>
            <w:pPr>
              <w:pStyle w:val="Compact"/>
              <w:jc w:val="right"/>
            </w:pPr>
            <w:r>
              <w:t xml:space="preserve">0.00</w:t>
            </w:r>
          </w:p>
        </w:tc>
      </w:tr>
      <w:tr>
        <w:tc>
          <w:p>
            <w:pPr>
              <w:pStyle w:val="Compact"/>
              <w:jc w:val="left"/>
            </w:pPr>
            <w:r>
              <w:t xml:space="preserve">Switzerland</w:t>
            </w:r>
          </w:p>
        </w:tc>
        <w:tc>
          <w:p>
            <w:pPr>
              <w:pStyle w:val="Compact"/>
              <w:jc w:val="right"/>
            </w:pPr>
            <w:r>
              <w:t xml:space="preserve">3.25</w:t>
            </w:r>
          </w:p>
        </w:tc>
        <w:tc>
          <w:p>
            <w:pPr>
              <w:pStyle w:val="Compact"/>
              <w:jc w:val="right"/>
            </w:pPr>
            <w:r>
              <w:t xml:space="preserve">3.25</w:t>
            </w:r>
          </w:p>
        </w:tc>
        <w:tc>
          <w:p>
            <w:pPr>
              <w:pStyle w:val="Compact"/>
              <w:jc w:val="right"/>
            </w:pPr>
            <w:r>
              <w:t xml:space="preserve">9.65</w:t>
            </w:r>
          </w:p>
        </w:tc>
        <w:tc>
          <w:p>
            <w:pPr>
              <w:pStyle w:val="Compact"/>
              <w:jc w:val="right"/>
            </w:pPr>
            <w:r>
              <w:t xml:space="preserve">0.00</w:t>
            </w:r>
          </w:p>
        </w:tc>
      </w:tr>
      <w:tr>
        <w:tc>
          <w:p>
            <w:pPr>
              <w:pStyle w:val="Compact"/>
              <w:jc w:val="left"/>
            </w:pPr>
            <w:r>
              <w:t xml:space="preserve">Turkey</w:t>
            </w:r>
          </w:p>
        </w:tc>
        <w:tc>
          <w:p>
            <w:pPr>
              <w:pStyle w:val="Compact"/>
              <w:jc w:val="right"/>
            </w:pPr>
            <w:r>
              <w:t xml:space="preserve">50.59</w:t>
            </w:r>
          </w:p>
        </w:tc>
        <w:tc>
          <w:p>
            <w:pPr>
              <w:pStyle w:val="Compact"/>
              <w:jc w:val="right"/>
            </w:pPr>
            <w:r>
              <w:t xml:space="preserve">50.59</w:t>
            </w:r>
          </w:p>
        </w:tc>
        <w:tc>
          <w:p>
            <w:pPr>
              <w:pStyle w:val="Compact"/>
              <w:jc w:val="right"/>
            </w:pPr>
            <w:r>
              <w:t xml:space="preserve">288.57</w:t>
            </w:r>
          </w:p>
        </w:tc>
        <w:tc>
          <w:p>
            <w:pPr>
              <w:pStyle w:val="Compact"/>
              <w:jc w:val="right"/>
            </w:pPr>
            <w:r>
              <w:t xml:space="preserve">0.00</w:t>
            </w:r>
          </w:p>
        </w:tc>
      </w:tr>
      <w:tr>
        <w:tc>
          <w:p>
            <w:pPr>
              <w:pStyle w:val="Compact"/>
              <w:jc w:val="left"/>
            </w:pPr>
            <w:r>
              <w:t xml:space="preserve">United Kingdom</w:t>
            </w:r>
          </w:p>
        </w:tc>
        <w:tc>
          <w:p>
            <w:pPr>
              <w:pStyle w:val="Compact"/>
              <w:jc w:val="right"/>
            </w:pPr>
            <w:r>
              <w:t xml:space="preserve">2.88</w:t>
            </w:r>
          </w:p>
        </w:tc>
        <w:tc>
          <w:p>
            <w:pPr>
              <w:pStyle w:val="Compact"/>
              <w:jc w:val="right"/>
            </w:pPr>
            <w:r>
              <w:t xml:space="preserve">2.88</w:t>
            </w:r>
          </w:p>
        </w:tc>
        <w:tc>
          <w:p>
            <w:pPr>
              <w:pStyle w:val="Compact"/>
              <w:jc w:val="right"/>
            </w:pPr>
            <w:r>
              <w:t xml:space="preserve">8.70</w:t>
            </w:r>
          </w:p>
        </w:tc>
        <w:tc>
          <w:p>
            <w:pPr>
              <w:pStyle w:val="Compact"/>
              <w:jc w:val="right"/>
            </w:pPr>
            <w:r>
              <w:t xml:space="preserve">0.00</w:t>
            </w:r>
          </w:p>
        </w:tc>
      </w:tr>
      <w:tr>
        <w:tc>
          <w:p>
            <w:pPr>
              <w:pStyle w:val="Compact"/>
              <w:jc w:val="left"/>
            </w:pPr>
            <w:r>
              <w:t xml:space="preserve">Belgium</w:t>
            </w:r>
          </w:p>
        </w:tc>
        <w:tc>
          <w:p>
            <w:pPr>
              <w:pStyle w:val="Compact"/>
              <w:jc w:val="right"/>
            </w:pPr>
            <w:r>
              <w:t xml:space="preserve">1.60</w:t>
            </w:r>
          </w:p>
        </w:tc>
        <w:tc>
          <w:p>
            <w:pPr>
              <w:pStyle w:val="Compact"/>
              <w:jc w:val="right"/>
            </w:pPr>
            <w:r>
              <w:t xml:space="preserve">1.60</w:t>
            </w:r>
          </w:p>
        </w:tc>
        <w:tc>
          <w:p>
            <w:pPr>
              <w:pStyle w:val="Compact"/>
              <w:jc w:val="right"/>
            </w:pPr>
            <w:r>
              <w:t xml:space="preserve">5.86</w:t>
            </w:r>
          </w:p>
        </w:tc>
        <w:tc>
          <w:p>
            <w:pPr>
              <w:pStyle w:val="Compact"/>
              <w:jc w:val="right"/>
            </w:pPr>
            <w:r>
              <w:t xml:space="preserve">0.02</w:t>
            </w:r>
          </w:p>
        </w:tc>
      </w:tr>
      <w:tr>
        <w:tc>
          <w:p>
            <w:pPr>
              <w:pStyle w:val="Compact"/>
              <w:jc w:val="left"/>
            </w:pPr>
            <w:r>
              <w:t xml:space="preserve">Ireland</w:t>
            </w:r>
          </w:p>
        </w:tc>
        <w:tc>
          <w:p>
            <w:pPr>
              <w:pStyle w:val="Compact"/>
              <w:jc w:val="right"/>
            </w:pPr>
            <w:r>
              <w:t xml:space="preserve">1.82</w:t>
            </w:r>
          </w:p>
        </w:tc>
        <w:tc>
          <w:p>
            <w:pPr>
              <w:pStyle w:val="Compact"/>
              <w:jc w:val="right"/>
            </w:pPr>
            <w:r>
              <w:t xml:space="preserve">1.82</w:t>
            </w:r>
          </w:p>
        </w:tc>
        <w:tc>
          <w:p>
            <w:pPr>
              <w:pStyle w:val="Compact"/>
              <w:jc w:val="right"/>
            </w:pPr>
            <w:r>
              <w:t xml:space="preserve">5.91</w:t>
            </w:r>
          </w:p>
        </w:tc>
        <w:tc>
          <w:p>
            <w:pPr>
              <w:pStyle w:val="Compact"/>
              <w:jc w:val="right"/>
            </w:pPr>
            <w:r>
              <w:t xml:space="preserve">0.02</w:t>
            </w:r>
          </w:p>
        </w:tc>
      </w:tr>
      <w:tr>
        <w:tc>
          <w:p>
            <w:pPr>
              <w:pStyle w:val="Compact"/>
              <w:jc w:val="left"/>
            </w:pPr>
            <w:r>
              <w:t xml:space="preserve">Hungary</w:t>
            </w:r>
          </w:p>
        </w:tc>
        <w:tc>
          <w:p>
            <w:pPr>
              <w:pStyle w:val="Compact"/>
              <w:jc w:val="right"/>
            </w:pPr>
            <w:r>
              <w:t xml:space="preserve">0.95</w:t>
            </w:r>
          </w:p>
        </w:tc>
        <w:tc>
          <w:p>
            <w:pPr>
              <w:pStyle w:val="Compact"/>
              <w:jc w:val="right"/>
            </w:pPr>
            <w:r>
              <w:t xml:space="preserve">0.95</w:t>
            </w:r>
          </w:p>
        </w:tc>
        <w:tc>
          <w:p>
            <w:pPr>
              <w:pStyle w:val="Compact"/>
              <w:jc w:val="right"/>
            </w:pPr>
            <w:r>
              <w:t xml:space="preserve">3.73</w:t>
            </w:r>
          </w:p>
        </w:tc>
        <w:tc>
          <w:p>
            <w:pPr>
              <w:pStyle w:val="Compact"/>
              <w:jc w:val="right"/>
            </w:pPr>
            <w:r>
              <w:t xml:space="preserve">0.05</w:t>
            </w:r>
          </w:p>
        </w:tc>
      </w:tr>
      <w:tr>
        <w:tc>
          <w:p>
            <w:pPr>
              <w:pStyle w:val="Compact"/>
              <w:jc w:val="left"/>
            </w:pPr>
            <w:r>
              <w:t xml:space="preserve">France</w:t>
            </w:r>
          </w:p>
        </w:tc>
        <w:tc>
          <w:p>
            <w:pPr>
              <w:pStyle w:val="Compact"/>
              <w:jc w:val="right"/>
            </w:pPr>
            <w:r>
              <w:t xml:space="preserve">0.70</w:t>
            </w:r>
          </w:p>
        </w:tc>
        <w:tc>
          <w:p>
            <w:pPr>
              <w:pStyle w:val="Compact"/>
              <w:jc w:val="right"/>
            </w:pPr>
            <w:r>
              <w:t xml:space="preserve">0.70</w:t>
            </w:r>
          </w:p>
        </w:tc>
        <w:tc>
          <w:p>
            <w:pPr>
              <w:pStyle w:val="Compact"/>
              <w:jc w:val="right"/>
            </w:pPr>
            <w:r>
              <w:t xml:space="preserve">2.12</w:t>
            </w:r>
          </w:p>
        </w:tc>
        <w:tc>
          <w:p>
            <w:pPr>
              <w:pStyle w:val="Compact"/>
              <w:jc w:val="right"/>
            </w:pPr>
            <w:r>
              <w:t xml:space="preserve">0.15</w:t>
            </w:r>
          </w:p>
        </w:tc>
      </w:tr>
      <w:tr>
        <w:tc>
          <w:p>
            <w:pPr>
              <w:pStyle w:val="Compact"/>
              <w:jc w:val="left"/>
            </w:pPr>
            <w:r>
              <w:t xml:space="preserve">Ukraine</w:t>
            </w:r>
          </w:p>
        </w:tc>
        <w:tc>
          <w:p>
            <w:pPr>
              <w:pStyle w:val="Compact"/>
              <w:jc w:val="right"/>
            </w:pPr>
            <w:r>
              <w:t xml:space="preserve">0.69</w:t>
            </w:r>
          </w:p>
        </w:tc>
        <w:tc>
          <w:p>
            <w:pPr>
              <w:pStyle w:val="Compact"/>
              <w:jc w:val="right"/>
            </w:pPr>
            <w:r>
              <w:t xml:space="preserve">0.69</w:t>
            </w:r>
          </w:p>
        </w:tc>
        <w:tc>
          <w:p>
            <w:pPr>
              <w:pStyle w:val="Compact"/>
              <w:jc w:val="right"/>
            </w:pPr>
            <w:r>
              <w:t xml:space="preserve">1.88</w:t>
            </w:r>
          </w:p>
        </w:tc>
        <w:tc>
          <w:p>
            <w:pPr>
              <w:pStyle w:val="Compact"/>
              <w:jc w:val="right"/>
            </w:pPr>
            <w:r>
              <w:t xml:space="preserve">0.17</w:t>
            </w:r>
          </w:p>
        </w:tc>
      </w:tr>
      <w:tr>
        <w:tc>
          <w:p>
            <w:pPr>
              <w:pStyle w:val="Compact"/>
              <w:jc w:val="left"/>
            </w:pPr>
            <w:r>
              <w:t xml:space="preserve">Finland</w:t>
            </w:r>
          </w:p>
        </w:tc>
        <w:tc>
          <w:p>
            <w:pPr>
              <w:pStyle w:val="Compact"/>
              <w:jc w:val="right"/>
            </w:pPr>
            <w:r>
              <w:t xml:space="preserve">0.33</w:t>
            </w:r>
          </w:p>
        </w:tc>
        <w:tc>
          <w:p>
            <w:pPr>
              <w:pStyle w:val="Compact"/>
              <w:jc w:val="right"/>
            </w:pPr>
            <w:r>
              <w:t xml:space="preserve">0.33</w:t>
            </w:r>
          </w:p>
        </w:tc>
        <w:tc>
          <w:p>
            <w:pPr>
              <w:pStyle w:val="Compact"/>
              <w:jc w:val="right"/>
            </w:pPr>
            <w:r>
              <w:t xml:space="preserve">0.92</w:t>
            </w:r>
          </w:p>
        </w:tc>
        <w:tc>
          <w:p>
            <w:pPr>
              <w:pStyle w:val="Compact"/>
              <w:jc w:val="right"/>
            </w:pPr>
            <w:r>
              <w:t xml:space="preserve">0.34</w:t>
            </w:r>
          </w:p>
        </w:tc>
      </w:tr>
      <w:tr>
        <w:tc>
          <w:p>
            <w:pPr>
              <w:pStyle w:val="Compact"/>
              <w:jc w:val="left"/>
            </w:pPr>
            <w:r>
              <w:t xml:space="preserve">Iceland</w:t>
            </w:r>
          </w:p>
        </w:tc>
        <w:tc>
          <w:p>
            <w:pPr>
              <w:pStyle w:val="Compact"/>
              <w:jc w:val="right"/>
            </w:pPr>
            <w:r>
              <w:t xml:space="preserve">0.29</w:t>
            </w:r>
          </w:p>
        </w:tc>
        <w:tc>
          <w:p>
            <w:pPr>
              <w:pStyle w:val="Compact"/>
              <w:jc w:val="right"/>
            </w:pPr>
            <w:r>
              <w:t xml:space="preserve">0.29</w:t>
            </w:r>
          </w:p>
        </w:tc>
        <w:tc>
          <w:p>
            <w:pPr>
              <w:pStyle w:val="Compact"/>
              <w:jc w:val="right"/>
            </w:pPr>
            <w:r>
              <w:t xml:space="preserve">0.82</w:t>
            </w:r>
          </w:p>
        </w:tc>
        <w:tc>
          <w:p>
            <w:pPr>
              <w:pStyle w:val="Compact"/>
              <w:jc w:val="right"/>
            </w:pPr>
            <w:r>
              <w:t xml:space="preserve">0.36</w:t>
            </w:r>
          </w:p>
        </w:tc>
      </w:tr>
      <w:tr>
        <w:tc>
          <w:p>
            <w:pPr>
              <w:pStyle w:val="Compact"/>
              <w:jc w:val="left"/>
            </w:pPr>
            <w:r>
              <w:t xml:space="preserve">Norway</w:t>
            </w:r>
          </w:p>
        </w:tc>
        <w:tc>
          <w:p>
            <w:pPr>
              <w:pStyle w:val="Compact"/>
              <w:jc w:val="right"/>
            </w:pPr>
            <w:r>
              <w:t xml:space="preserve">0.17</w:t>
            </w:r>
          </w:p>
        </w:tc>
        <w:tc>
          <w:p>
            <w:pPr>
              <w:pStyle w:val="Compact"/>
              <w:jc w:val="right"/>
            </w:pPr>
            <w:r>
              <w:t xml:space="preserve">0.17</w:t>
            </w:r>
          </w:p>
        </w:tc>
        <w:tc>
          <w:p>
            <w:pPr>
              <w:pStyle w:val="Compact"/>
              <w:jc w:val="right"/>
            </w:pPr>
            <w:r>
              <w:t xml:space="preserve">0.49</w:t>
            </w:r>
          </w:p>
        </w:tc>
        <w:tc>
          <w:p>
            <w:pPr>
              <w:pStyle w:val="Compact"/>
              <w:jc w:val="right"/>
            </w:pPr>
            <w:r>
              <w:t xml:space="preserve">0.49</w:t>
            </w:r>
          </w:p>
        </w:tc>
      </w:tr>
      <w:tr>
        <w:tc>
          <w:p>
            <w:pPr>
              <w:pStyle w:val="Compact"/>
              <w:jc w:val="left"/>
            </w:pPr>
            <w:r>
              <w:t xml:space="preserve">Italy</w:t>
            </w:r>
          </w:p>
        </w:tc>
        <w:tc>
          <w:p>
            <w:pPr>
              <w:pStyle w:val="Compact"/>
              <w:jc w:val="right"/>
            </w:pPr>
            <w:r>
              <w:t xml:space="preserve">0.13</w:t>
            </w:r>
          </w:p>
        </w:tc>
        <w:tc>
          <w:p>
            <w:pPr>
              <w:pStyle w:val="Compact"/>
              <w:jc w:val="right"/>
            </w:pPr>
            <w:r>
              <w:t xml:space="preserve">0.13</w:t>
            </w:r>
          </w:p>
        </w:tc>
        <w:tc>
          <w:p>
            <w:pPr>
              <w:pStyle w:val="Compact"/>
              <w:jc w:val="right"/>
            </w:pPr>
            <w:r>
              <w:t xml:space="preserve">0.43</w:t>
            </w:r>
          </w:p>
        </w:tc>
        <w:tc>
          <w:p>
            <w:pPr>
              <w:pStyle w:val="Compact"/>
              <w:jc w:val="right"/>
            </w:pPr>
            <w:r>
              <w:t xml:space="preserve">0.51</w:t>
            </w:r>
          </w:p>
        </w:tc>
      </w:tr>
    </w:tbl>
    <w:p>
      <w:pPr>
        <w:pStyle w:val="BodyText"/>
      </w:pPr>
      <w:r>
        <w:t xml:space="preserve">Таким чином, частка років життя за економічного росту має малий взаємозв’язок із цінностями. Однак ми припускаємо, що у різні періоди життя цей вплив можу бити різними, або, наприклад, з часом згладжуватися. Саме тому ми на цьому не зупинилися і вирішили перевірити гіпотези про різний час максимального впливу економіки на цінності.</w:t>
      </w:r>
    </w:p>
    <w:p>
      <w:pPr>
        <w:pStyle w:val="BodyText"/>
      </w:pPr>
      <w:r>
        <w:t xml:space="preserve">Гіпотези 1.1 і 1.2 підтвердилися частково, оскільки у різних країн різне спрямування зв’язку між цінностями та часткою років економічного добробуту, що припадає на життя людини.</w:t>
      </w:r>
    </w:p>
    <w:p>
      <w:pPr>
        <w:pStyle w:val="Heading4"/>
      </w:pPr>
      <w:bookmarkStart w:id="53" w:name="-------"/>
      <w:r>
        <w:t xml:space="preserve">Виявлення часу найбільшої чутливості індивіда до економічних коливань</w:t>
      </w:r>
      <w:bookmarkEnd w:id="53"/>
    </w:p>
    <w:p>
      <w:pPr>
        <w:pStyle w:val="FirstParagraph"/>
      </w:pPr>
      <w:r>
        <w:t xml:space="preserve">Визначення рівня впливу частки років економічного зростання, які припадають на життя індивіда у різних країнах, на його цінності замало для повної характеристики цього взаємозв’язку. Без сумніву, є такі періоди життя, коли цінності індивіда більш схильні змінюватися, а є і такі, що навіть затяжна економчіна криза не здатна змінити. Саме тому ми провели додатково аналіз, який допоміг нам визначити такі періоди життя в різних країнах. Так, згідно з нашою гіпотезою такі періоди в різних країнах будуть відмінними через культурні особливості, а також через асинхронність криз. За період життя наших респондентів лише одна криза торкнулася всіх країн - світова фінансова кризха 2008 року. Криза 1973 року не зачепила країни соцтабору, так само як криза 1990-х характерна тільки країнам посткомунізму. У різних країн були свої кризи, пов’язані з різними політичними процесами, особливостями розвитку. Отже, теоретично є всі умови для того, що період найбільшого впливу економіки на цінності в різних країнах буде відмінним.</w:t>
      </w:r>
    </w:p>
    <w:p>
      <w:pPr>
        <w:pStyle w:val="BodyText"/>
      </w:pPr>
      <w:r>
        <w:t xml:space="preserve">Для цього ми взяли всіх респондентів старше 40 років (оскільки тільки в таких респондентів ми можемо побачити вплив різних періодів життя на цінності) та проаналізували, в які роки життя економічний розвиток впливав на цінності більше, ніж в інші.</w:t>
      </w:r>
    </w:p>
    <w:p>
      <w:pPr>
        <w:pStyle w:val="BodyText"/>
      </w:pPr>
      <w:r>
        <w:t xml:space="preserve">Роки найбільшої чутливості до економічних коливань за країнами (найбільший рівень кореляції):</w:t>
      </w:r>
    </w:p>
    <w:p>
      <w:pPr>
        <w:pStyle w:val="BodyText"/>
      </w:pPr>
      <w:r>
        <w:t xml:space="preserve">Austria: (1, 2, 31, 34, 35)</w:t>
      </w:r>
      <w:r>
        <w:t xml:space="preserve"> </w:t>
      </w:r>
      <w:r>
        <w:t xml:space="preserve">Belgium: (3, 7, 8, 9, 10)</w:t>
      </w:r>
      <w:r>
        <w:t xml:space="preserve"> </w:t>
      </w:r>
      <w:r>
        <w:t xml:space="preserve">Switzerland: (3, 10, 11, 12, 13)</w:t>
      </w:r>
      <w:r>
        <w:t xml:space="preserve"> </w:t>
      </w:r>
      <w:r>
        <w:t xml:space="preserve">Germany: (32, 33, 34, 35, 36)</w:t>
      </w:r>
      <w:r>
        <w:t xml:space="preserve"> </w:t>
      </w:r>
      <w:r>
        <w:t xml:space="preserve">Denmark: (31, 32, 33, 34, 35)</w:t>
      </w:r>
      <w:r>
        <w:t xml:space="preserve"> </w:t>
      </w:r>
      <w:r>
        <w:t xml:space="preserve">Spain: (2, 3, 5, 6, 7)</w:t>
      </w:r>
      <w:r>
        <w:t xml:space="preserve"> </w:t>
      </w:r>
      <w:r>
        <w:t xml:space="preserve">Finland: (31, 32, 33, 34, 35)</w:t>
      </w:r>
      <w:r>
        <w:t xml:space="preserve"> </w:t>
      </w:r>
      <w:r>
        <w:t xml:space="preserve">France: (4, 5, 6, 34, 35)</w:t>
      </w:r>
      <w:r>
        <w:t xml:space="preserve"> </w:t>
      </w:r>
      <w:r>
        <w:t xml:space="preserve">United Kingdom: (39, 40, 41, 49, 50)</w:t>
      </w:r>
      <w:r>
        <w:t xml:space="preserve"> </w:t>
      </w:r>
      <w:r>
        <w:t xml:space="preserve">Greece: (4, 20, 21, 22, 27)</w:t>
      </w:r>
      <w:r>
        <w:t xml:space="preserve"> </w:t>
      </w:r>
      <w:r>
        <w:t xml:space="preserve">Hungary: (35, 36, 37, 38, 54)</w:t>
      </w:r>
      <w:r>
        <w:t xml:space="preserve"> </w:t>
      </w:r>
      <w:r>
        <w:t xml:space="preserve">Ireland: (15, 17, 18, 59, 60)</w:t>
      </w:r>
      <w:r>
        <w:t xml:space="preserve"> </w:t>
      </w:r>
      <w:r>
        <w:t xml:space="preserve">Netherlands: (31, 32, 34, 39, 60)</w:t>
      </w:r>
      <w:r>
        <w:t xml:space="preserve"> </w:t>
      </w:r>
      <w:r>
        <w:t xml:space="preserve">Norway: (4, 52, 53, 54, 55)</w:t>
      </w:r>
      <w:r>
        <w:t xml:space="preserve"> </w:t>
      </w:r>
      <w:r>
        <w:t xml:space="preserve">Poland: (17, 18, 19, 20, 21)</w:t>
      </w:r>
      <w:r>
        <w:t xml:space="preserve"> </w:t>
      </w:r>
      <w:r>
        <w:t xml:space="preserve">Portugal: (46, 47, 48, 49, 50)</w:t>
      </w:r>
      <w:r>
        <w:t xml:space="preserve"> </w:t>
      </w:r>
      <w:r>
        <w:t xml:space="preserve">Sweden: (1, 31, 33, 34, 35)</w:t>
      </w:r>
      <w:r>
        <w:t xml:space="preserve"> </w:t>
      </w:r>
      <w:r>
        <w:t xml:space="preserve">Slovenia: (51, 52, 53, 54, 55)</w:t>
      </w:r>
      <w:r>
        <w:t xml:space="preserve"> </w:t>
      </w:r>
      <w:r>
        <w:t xml:space="preserve">Iceland: (22, 43, 56, 57, 58)</w:t>
      </w:r>
      <w:r>
        <w:t xml:space="preserve"> </w:t>
      </w:r>
      <w:r>
        <w:t xml:space="preserve">Turkey: (3, 8, 37, 38, 39)</w:t>
      </w:r>
      <w:r>
        <w:t xml:space="preserve"> </w:t>
      </w:r>
      <w:r>
        <w:t xml:space="preserve">Bulgaria: (29, 30, 31, 32, 33)</w:t>
      </w:r>
      <w:r>
        <w:t xml:space="preserve"> </w:t>
      </w:r>
      <w:r>
        <w:t xml:space="preserve">Romania: (1, 3, 4, 44, 53)</w:t>
      </w:r>
      <w:r>
        <w:t xml:space="preserve"> </w:t>
      </w:r>
      <w:r>
        <w:t xml:space="preserve">Albania: (17, 18, 53, 54, 55)</w:t>
      </w:r>
      <w:r>
        <w:t xml:space="preserve"> </w:t>
      </w:r>
      <w:r>
        <w:t xml:space="preserve">Italy: (1, 57, 58, 59, 60)</w:t>
      </w:r>
    </w:p>
    <w:p>
      <w:pPr>
        <w:pStyle w:val="BodyText"/>
      </w:pPr>
      <w:r>
        <w:t xml:space="preserve">Як бачимо, країни можна розділити на 4-ри групи:</w:t>
      </w:r>
      <w:r>
        <w:t xml:space="preserve"> </w:t>
      </w:r>
      <w:r>
        <w:t xml:space="preserve">1) найбільша чутливість в дитинистві (Бельгія, Іспанія, Франція, Румунія, Швейцарія)</w:t>
      </w:r>
      <w:r>
        <w:t xml:space="preserve"> </w:t>
      </w:r>
      <w:r>
        <w:t xml:space="preserve">2) найбільша чутливість в студентські роки (Греція, Польща)</w:t>
      </w:r>
      <w:r>
        <w:t xml:space="preserve"> </w:t>
      </w:r>
      <w:r>
        <w:t xml:space="preserve">3) найбільша чутливість у близько 30-40 років (Австрія, Німеччина, Данія, Фінляндія, Угорщина, Швеція, Болгарія, Туреччина)</w:t>
      </w:r>
      <w:r>
        <w:t xml:space="preserve"> </w:t>
      </w:r>
      <w:r>
        <w:t xml:space="preserve">4) найбільша чутливість після 40 років (решта країн)</w:t>
      </w:r>
    </w:p>
    <w:p>
      <w:pPr>
        <w:pStyle w:val="BodyText"/>
      </w:pPr>
      <w:r>
        <w:t xml:space="preserve">Таким чином, гіпотези 2.1 і 2.2 не підтвердилися.</w:t>
      </w:r>
    </w:p>
    <w:p>
      <w:pPr>
        <w:pStyle w:val="Heading3"/>
      </w:pPr>
      <w:bookmarkStart w:id="54" w:name="---"/>
      <w:r>
        <w:t xml:space="preserve">Висновки до розділу ІІІ</w:t>
      </w:r>
      <w:bookmarkEnd w:id="54"/>
    </w:p>
    <w:p>
      <w:pPr>
        <w:pStyle w:val="FirstParagraph"/>
      </w:pPr>
      <w:r>
        <w:t xml:space="preserve">Таким чином, вплив частки років економічного росту в житті людини слабко впливає на цінності людини. Найбільший цей вплив в умовно європейської Туреччини.</w:t>
      </w:r>
    </w:p>
    <w:p>
      <w:pPr>
        <w:pStyle w:val="BodyText"/>
      </w:pPr>
      <w:r>
        <w:t xml:space="preserve">Розподіл особливостей слабко відповідає відомим теоретичним концепціям розмежування Європи, як-от теорія Еспін-Андересена чи поділ Європи на окремі регіони (Західна, Центральна, Східна, Південна Європи). Найбільш помітні відмінності за лінією північ-південь.</w:t>
      </w:r>
    </w:p>
    <w:p>
      <w:pPr>
        <w:pStyle w:val="BodyText"/>
      </w:pPr>
      <w:r>
        <w:t xml:space="preserve">Період найбільшої чутливості до економічних коливань у різних країнах дещо коливається. Є загалом 4-ри основні епізоди життя, економічні коливання в які найбільше вплинули на цінності респондентів.</w:t>
      </w:r>
    </w:p>
    <w:p>
      <w:pPr>
        <w:pStyle w:val="Heading1"/>
      </w:pPr>
      <w:bookmarkStart w:id="55" w:name="-v.------"/>
      <w:r>
        <w:t xml:space="preserve">РОЗДІЛ ІV. Політичні закономірності розподілу цінностей в Європі</w:t>
      </w:r>
      <w:bookmarkEnd w:id="55"/>
    </w:p>
    <w:p>
      <w:pPr>
        <w:pStyle w:val="FirstParagraph"/>
      </w:pPr>
      <w:r>
        <w:drawing>
          <wp:inline>
            <wp:extent cx="5930900" cy="3389085"/>
            <wp:effectExtent b="0" l="0" r="0" t="0"/>
            <wp:docPr descr="" title="" id="1" name="Picture"/>
            <a:graphic>
              <a:graphicData uri="http://schemas.openxmlformats.org/drawingml/2006/picture">
                <pic:pic>
                  <pic:nvPicPr>
                    <pic:cNvPr descr="masters_thesis_files/figure-docx/unnamed-chunk-8-1.png" id="0" name="Picture"/>
                    <pic:cNvPicPr>
                      <a:picLocks noChangeArrowheads="1" noChangeAspect="1"/>
                    </pic:cNvPicPr>
                  </pic:nvPicPr>
                  <pic:blipFill>
                    <a:blip r:embed="rId56"/>
                    <a:stretch>
                      <a:fillRect/>
                    </a:stretch>
                  </pic:blipFill>
                  <pic:spPr bwMode="auto">
                    <a:xfrm>
                      <a:off x="0" y="0"/>
                      <a:ext cx="5930900" cy="3389085"/>
                    </a:xfrm>
                    <a:prstGeom prst="rect">
                      <a:avLst/>
                    </a:prstGeom>
                    <a:noFill/>
                    <a:ln w="9525">
                      <a:noFill/>
                      <a:headEnd/>
                      <a:tailEnd/>
                    </a:ln>
                  </pic:spPr>
                </pic:pic>
              </a:graphicData>
            </a:graphic>
          </wp:inline>
        </w:drawing>
      </w:r>
    </w:p>
    <w:p>
      <w:pPr>
        <w:pStyle w:val="BodyText"/>
      </w:pPr>
      <w:r>
        <w:drawing>
          <wp:inline>
            <wp:extent cx="5930900" cy="3389085"/>
            <wp:effectExtent b="0" l="0" r="0" t="0"/>
            <wp:docPr descr="" title="" id="1" name="Picture"/>
            <a:graphic>
              <a:graphicData uri="http://schemas.openxmlformats.org/drawingml/2006/picture">
                <pic:pic>
                  <pic:nvPicPr>
                    <pic:cNvPr descr="masters_thesis_files/figure-docx/unnamed-chunk-9-1.png" id="0" name="Picture"/>
                    <pic:cNvPicPr>
                      <a:picLocks noChangeArrowheads="1" noChangeAspect="1"/>
                    </pic:cNvPicPr>
                  </pic:nvPicPr>
                  <pic:blipFill>
                    <a:blip r:embed="rId57"/>
                    <a:stretch>
                      <a:fillRect/>
                    </a:stretch>
                  </pic:blipFill>
                  <pic:spPr bwMode="auto">
                    <a:xfrm>
                      <a:off x="0" y="0"/>
                      <a:ext cx="5930900" cy="3389085"/>
                    </a:xfrm>
                    <a:prstGeom prst="rect">
                      <a:avLst/>
                    </a:prstGeom>
                    <a:noFill/>
                    <a:ln w="9525">
                      <a:noFill/>
                      <a:headEnd/>
                      <a:tailEnd/>
                    </a:ln>
                  </pic:spPr>
                </pic:pic>
              </a:graphicData>
            </a:graphic>
          </wp:inline>
        </w:drawing>
      </w:r>
    </w:p>
    <w:p>
      <w:pPr>
        <w:pStyle w:val="Heading1"/>
      </w:pPr>
      <w:r>
        <w:t xml:space="preserve">Висновки</w:t>
      </w:r>
    </w:p>
    <w:p>
      <w:pPr>
        <w:pStyle w:val="FirstParagraph"/>
      </w:pPr>
      <w:r>
        <w:t xml:space="preserve">Таким чином, у ході нашого дослідження ми виконали усі поставлені завдання та досягли мети роботи.</w:t>
      </w:r>
    </w:p>
    <w:p>
      <w:pPr>
        <w:pStyle w:val="Heading1"/>
      </w:pPr>
      <w:bookmarkStart w:id="58" w:name="----"/>
      <w:r>
        <w:t xml:space="preserve">Список використаних джерел та література</w:t>
      </w:r>
      <w:bookmarkEnd w:id="58"/>
    </w:p>
    <w:bookmarkStart w:id="72" w:name="refs"/>
    <w:bookmarkStart w:id="60" w:name="ref-Maddison2018"/>
    <w:p>
      <w:pPr>
        <w:pStyle w:val="FirstParagraph"/>
      </w:pPr>
      <w:r>
        <w:t xml:space="preserve">Bolt RI Jutta and Zanden JL van [2018] Maddison project database (mpd). Database. Available at:</w:t>
      </w:r>
      <w:r>
        <w:t xml:space="preserve"> </w:t>
      </w:r>
      <w:hyperlink r:id="rId59">
        <w:r>
          <w:rPr>
            <w:rStyle w:val="Hyperlink"/>
          </w:rPr>
          <w:t xml:space="preserve">www.ggdc.net/maddison</w:t>
        </w:r>
      </w:hyperlink>
      <w:r>
        <w:t xml:space="preserve">.</w:t>
      </w:r>
    </w:p>
    <w:bookmarkEnd w:id="60"/>
    <w:bookmarkStart w:id="62" w:name="ref-BRAITHWAITE_1998"/>
    <w:p>
      <w:pPr>
        <w:pStyle w:val="BodyText"/>
      </w:pPr>
      <w:r>
        <w:t xml:space="preserve">BRAITHWAITE V [1998] Consensus, stability and meaning in abstract social values.</w:t>
      </w:r>
      <w:r>
        <w:t xml:space="preserve"> </w:t>
      </w:r>
      <w:r>
        <w:rPr>
          <w:i/>
        </w:rPr>
        <w:t xml:space="preserve">Australian Journal of Political Science</w:t>
      </w:r>
      <w:r>
        <w:t xml:space="preserve"> </w:t>
      </w:r>
      <w:r>
        <w:t xml:space="preserve">33[3]. Informa UK Limited: 363–380. DOI:</w:t>
      </w:r>
      <w:r>
        <w:t xml:space="preserve"> </w:t>
      </w:r>
      <w:hyperlink r:id="rId61">
        <w:r>
          <w:rPr>
            <w:rStyle w:val="Hyperlink"/>
          </w:rPr>
          <w:t xml:space="preserve">10.1080/10361149850525</w:t>
        </w:r>
      </w:hyperlink>
      <w:r>
        <w:t xml:space="preserve">.</w:t>
      </w:r>
    </w:p>
    <w:bookmarkEnd w:id="62"/>
    <w:bookmarkStart w:id="64" w:name="ref-value10"/>
    <w:p>
      <w:pPr>
        <w:pStyle w:val="BodyText"/>
      </w:pPr>
      <w:r>
        <w:t xml:space="preserve">Computing scores for the 10 human values [n.d.] manual. Available at:</w:t>
      </w:r>
      <w:r>
        <w:t xml:space="preserve"> </w:t>
      </w:r>
      <w:hyperlink r:id="rId63">
        <w:r>
          <w:rPr>
            <w:rStyle w:val="Hyperlink"/>
          </w:rPr>
          <w:t xml:space="preserve">https://www.europeansocialsurvey.org/docs/methodology/ESS1_human_values_scale.pdf</w:t>
        </w:r>
      </w:hyperlink>
      <w:r>
        <w:t xml:space="preserve">.</w:t>
      </w:r>
    </w:p>
    <w:bookmarkEnd w:id="64"/>
    <w:bookmarkStart w:id="65" w:name="ref-dopira"/>
    <w:p>
      <w:pPr>
        <w:pStyle w:val="BodyText"/>
      </w:pPr>
      <w:r>
        <w:t xml:space="preserve">Dopira M [2010]</w:t>
      </w:r>
      <w:r>
        <w:t xml:space="preserve"> </w:t>
      </w:r>
      <w:r>
        <w:rPr>
          <w:i/>
        </w:rPr>
        <w:t xml:space="preserve">Social values transformation, enterpreneuship and economic growth: Cross-country analysis</w:t>
      </w:r>
      <w:r>
        <w:t xml:space="preserve">. Masters thesis. Kyiv School of Economics.</w:t>
      </w:r>
    </w:p>
    <w:bookmarkEnd w:id="65"/>
    <w:bookmarkStart w:id="67" w:name="ref-Schwartz2012"/>
    <w:p>
      <w:pPr>
        <w:pStyle w:val="BodyText"/>
      </w:pPr>
      <w:r>
        <w:t xml:space="preserve">Schwartz SH [2012] An overview of the schwartz eory of basic values.</w:t>
      </w:r>
      <w:r>
        <w:t xml:space="preserve"> </w:t>
      </w:r>
      <w:r>
        <w:rPr>
          <w:i/>
        </w:rPr>
        <w:t xml:space="preserve">Online Readings in Psychology and Culture</w:t>
      </w:r>
      <w:r>
        <w:t xml:space="preserve"> </w:t>
      </w:r>
      <w:r>
        <w:t xml:space="preserve">[2(1)]: 1. Available at:</w:t>
      </w:r>
      <w:r>
        <w:t xml:space="preserve"> </w:t>
      </w:r>
      <w:hyperlink r:id="rId66">
        <w:r>
          <w:rPr>
            <w:rStyle w:val="Hyperlink"/>
          </w:rPr>
          <w:t xml:space="preserve">http://scholarworks.gvsu.edu/cgi/viewcontent.cgi?article=1116&amp;context=orpc</w:t>
        </w:r>
      </w:hyperlink>
      <w:r>
        <w:t xml:space="preserve">.</w:t>
      </w:r>
    </w:p>
    <w:bookmarkEnd w:id="67"/>
    <w:bookmarkStart w:id="69" w:name="ref-bilsky"/>
    <w:p>
      <w:pPr>
        <w:pStyle w:val="BodyText"/>
      </w:pPr>
      <w:r>
        <w:t xml:space="preserve">Wolfgang Bilsky MJ and Schwartz S [2011] The structural organization of human values-evidence from three rounds of the european social survey (ess).</w:t>
      </w:r>
      <w:r>
        <w:t xml:space="preserve"> </w:t>
      </w:r>
      <w:r>
        <w:rPr>
          <w:i/>
        </w:rPr>
        <w:t xml:space="preserve">Journal of Cross-Cultural Psychology</w:t>
      </w:r>
      <w:r>
        <w:t xml:space="preserve"> </w:t>
      </w:r>
      <w:r>
        <w:t xml:space="preserve">[42(5)]: 759–776. Available at:</w:t>
      </w:r>
      <w:r>
        <w:t xml:space="preserve"> </w:t>
      </w:r>
      <w:hyperlink r:id="rId68">
        <w:r>
          <w:rPr>
            <w:rStyle w:val="Hyperlink"/>
          </w:rPr>
          <w:t xml:space="preserve">http://jcc.sagepub.com/content/42/5/759</w:t>
        </w:r>
      </w:hyperlink>
      <w:r>
        <w:t xml:space="preserve">.</w:t>
      </w:r>
    </w:p>
    <w:bookmarkEnd w:id="69"/>
    <w:bookmarkStart w:id="71" w:name="ref-azuan"/>
    <w:p>
      <w:pPr>
        <w:pStyle w:val="BodyText"/>
      </w:pPr>
      <w:r>
        <w:t xml:space="preserve">А. А [2013] Экономика и культура – кто на кого влияет.</w:t>
      </w:r>
      <w:r>
        <w:t xml:space="preserve"> </w:t>
      </w:r>
      <w:r>
        <w:rPr>
          <w:i/>
        </w:rPr>
        <w:t xml:space="preserve">Научно-образовательный портал IQ</w:t>
      </w:r>
      <w:r>
        <w:t xml:space="preserve">. Available at:</w:t>
      </w:r>
      <w:r>
        <w:t xml:space="preserve"> </w:t>
      </w:r>
      <w:hyperlink r:id="rId70">
        <w:r>
          <w:rPr>
            <w:rStyle w:val="Hyperlink"/>
          </w:rPr>
          <w:t xml:space="preserve">https://iq.hse.ru/news/177670948.html</w:t>
        </w:r>
      </w:hyperlink>
      <w:r>
        <w:t xml:space="preserve">.</w:t>
      </w:r>
    </w:p>
    <w:bookmarkEnd w:id="71"/>
    <w:bookmarkEnd w:id="72"/>
    <w:p>
      <w:pPr>
        <w:pStyle w:val="Heading1"/>
      </w:pPr>
      <w:r>
        <w:t xml:space="preserve">Додатки</w:t>
      </w:r>
    </w:p>
    <w:sectPr w:rsidR="002F26FD" w:rsidSect="00B76A35">
      <w:headerReference w:type="even" r:id="rId10"/>
      <w:headerReference w:type="default" r:id="rId11"/>
      <w:footerReference w:type="default" r:id="rId14"/>
      <w:headerReference w:type="first" r:id="rId13"/>
      <w:pgSz w:w="11906" w:h="16838"/>
      <w:pgMar w:top="1134" w:right="849" w:bottom="1134" w:left="1701" w:header="709" w:footer="420" w:gutter="0"/>
      <w:cols w:space="708"/>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FC3B3" w14:textId="403559D1" w:rsidR="007469C8" w:rsidRPr="00B13886" w:rsidRDefault="007469C8">
    <w:pPr>
      <w:pStyle w:val="Footer"/>
      <w:jc w:val="right"/>
      <w:rPr>
        <w:rFonts w:ascii="Times New Roman" w:hAnsi="Times New Roman" w:cs="Times New Roman"/>
        <w:sz w:val="24"/>
        <w:szCs w:val="24"/>
      </w:rPr>
    </w:pPr>
  </w:p>
  <w:p w14:paraId="01B383CC" w14:textId="77777777" w:rsidR="007469C8" w:rsidRDefault="007469C8">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BC48F" w14:textId="77777777" w:rsidR="007469C8" w:rsidRDefault="007469C8" w:rsidP="0029080A">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C711126" w14:textId="77777777" w:rsidR="007469C8" w:rsidRDefault="007469C8" w:rsidP="004B4624">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9507902"/>
      <w:docPartObj>
        <w:docPartGallery w:val="Page Numbers (Top of Page)"/>
        <w:docPartUnique/>
      </w:docPartObj>
    </w:sdtPr>
    <w:sdtEndPr>
      <w:rPr>
        <w:noProof/>
      </w:rPr>
    </w:sdtEndPr>
    <w:sdtContent>
      <w:p w14:paraId="797FDB45" w14:textId="68C26603" w:rsidR="007469C8" w:rsidRDefault="007469C8">
        <w:pPr>
          <w:pStyle w:val="Header"/>
          <w:jc w:val="right"/>
        </w:pPr>
      </w:p>
    </w:sdtContent>
  </w:sdt>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5E0C4" w14:textId="24DDE3FB" w:rsidR="007469C8" w:rsidRDefault="007469C8">
    <w:pPr>
      <w:pStyle w:val="Header"/>
      <w:jc w:val="right"/>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5399806"/>
      <w:docPartObj>
        <w:docPartGallery w:val="Page Numbers (Top of Page)"/>
        <w:docPartUnique/>
      </w:docPartObj>
    </w:sdtPr>
    <w:sdtEndPr>
      <w:rPr>
        <w:noProof/>
      </w:rPr>
    </w:sdtEndPr>
    <w:sdtContent>
      <w:p w14:paraId="428FF0F5" w14:textId="77777777" w:rsidR="007469C8" w:rsidRDefault="007469C8">
        <w:pPr>
          <w:pStyle w:val="Header"/>
          <w:jc w:val="right"/>
        </w:pPr>
        <w:r w:rsidRPr="00DB42CE">
          <w:rPr>
            <w:rFonts w:ascii="Times New Roman" w:hAnsi="Times New Roman" w:cs="Times New Roman"/>
            <w:sz w:val="28"/>
            <w:szCs w:val="28"/>
          </w:rPr>
          <w:fldChar w:fldCharType="begin"/>
        </w:r>
        <w:r w:rsidRPr="00DB42CE">
          <w:rPr>
            <w:rFonts w:ascii="Times New Roman" w:hAnsi="Times New Roman" w:cs="Times New Roman"/>
            <w:sz w:val="28"/>
            <w:szCs w:val="28"/>
          </w:rPr>
          <w:instrText xml:space="preserve"> PAGE   \* MERGEFORMAT </w:instrText>
        </w:r>
        <w:r w:rsidRPr="00DB42CE">
          <w:rPr>
            <w:rFonts w:ascii="Times New Roman" w:hAnsi="Times New Roman" w:cs="Times New Roman"/>
            <w:sz w:val="28"/>
            <w:szCs w:val="28"/>
          </w:rPr>
          <w:fldChar w:fldCharType="separate"/>
        </w:r>
        <w:r w:rsidR="00833187">
          <w:rPr>
            <w:rFonts w:ascii="Times New Roman" w:hAnsi="Times New Roman" w:cs="Times New Roman"/>
            <w:noProof/>
            <w:sz w:val="28"/>
            <w:szCs w:val="28"/>
          </w:rPr>
          <w:t>14</w:t>
        </w:r>
        <w:r w:rsidRPr="00DB42CE">
          <w:rPr>
            <w:rFonts w:ascii="Times New Roman" w:hAnsi="Times New Roman" w:cs="Times New Roman"/>
            <w:noProof/>
            <w:sz w:val="28"/>
            <w:szCs w:val="28"/>
          </w:rPr>
          <w:fldChar w:fldCharType="end"/>
        </w:r>
      </w:p>
    </w:sdtContent>
  </w:sdt>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0809726"/>
      <w:docPartObj>
        <w:docPartGallery w:val="Page Numbers (Top of Page)"/>
        <w:docPartUnique/>
      </w:docPartObj>
    </w:sdtPr>
    <w:sdtEndPr>
      <w:rPr>
        <w:noProof/>
      </w:rPr>
    </w:sdtEndPr>
    <w:sdtContent>
      <w:p w14:paraId="1D9083A2" w14:textId="77777777" w:rsidR="007469C8" w:rsidRDefault="007469C8">
        <w:pPr>
          <w:pStyle w:val="Header"/>
          <w:jc w:val="right"/>
        </w:pPr>
        <w:r w:rsidRPr="002F26FD">
          <w:rPr>
            <w:rFonts w:ascii="Times New Roman" w:hAnsi="Times New Roman" w:cs="Times New Roman"/>
            <w:sz w:val="28"/>
            <w:szCs w:val="28"/>
          </w:rPr>
          <w:fldChar w:fldCharType="begin"/>
        </w:r>
        <w:r w:rsidRPr="002F26FD">
          <w:rPr>
            <w:rFonts w:ascii="Times New Roman" w:hAnsi="Times New Roman" w:cs="Times New Roman"/>
            <w:sz w:val="28"/>
            <w:szCs w:val="28"/>
          </w:rPr>
          <w:instrText xml:space="preserve"> PAGE   \* MERGEFORMAT </w:instrText>
        </w:r>
        <w:r w:rsidRPr="002F26FD">
          <w:rPr>
            <w:rFonts w:ascii="Times New Roman" w:hAnsi="Times New Roman" w:cs="Times New Roman"/>
            <w:sz w:val="28"/>
            <w:szCs w:val="28"/>
          </w:rPr>
          <w:fldChar w:fldCharType="separate"/>
        </w:r>
        <w:r>
          <w:rPr>
            <w:rFonts w:ascii="Times New Roman" w:hAnsi="Times New Roman" w:cs="Times New Roman"/>
            <w:noProof/>
            <w:sz w:val="28"/>
            <w:szCs w:val="28"/>
          </w:rPr>
          <w:t>2</w:t>
        </w:r>
        <w:r w:rsidRPr="002F26FD">
          <w:rPr>
            <w:rFonts w:ascii="Times New Roman" w:hAnsi="Times New Roman" w:cs="Times New Roman"/>
            <w:noProof/>
            <w:sz w:val="28"/>
            <w:szCs w:val="28"/>
          </w:rPr>
          <w:fldChar w:fldCharType="end"/>
        </w:r>
      </w:p>
    </w:sdtContent>
  </w:sdt>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1756A5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F2450B"/>
    <w:multiLevelType w:val="hybridMultilevel"/>
    <w:tmpl w:val="E5A0B1D0"/>
    <w:lvl w:ilvl="0" w:tplc="55CE3CDA">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36C7B1E"/>
    <w:multiLevelType w:val="hybridMultilevel"/>
    <w:tmpl w:val="84DA3176"/>
    <w:lvl w:ilvl="0" w:tplc="D788087A">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DEA0913"/>
    <w:multiLevelType w:val="hybridMultilevel"/>
    <w:tmpl w:val="50EE350E"/>
    <w:numStyleLink w:val="ImportedStyle2"/>
  </w:abstractNum>
  <w:abstractNum w:abstractNumId="4">
    <w:nsid w:val="115925F3"/>
    <w:multiLevelType w:val="hybridMultilevel"/>
    <w:tmpl w:val="418E59FA"/>
    <w:styleLink w:val="ImportedStyle3"/>
    <w:lvl w:ilvl="0" w:tplc="657E25B0">
      <w:start w:val="1"/>
      <w:numFmt w:val="decimal"/>
      <w:lvlText w:val="%1."/>
      <w:lvlJc w:val="left"/>
      <w:pPr>
        <w:ind w:left="567" w:hanging="567"/>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510A6F5A">
      <w:start w:val="1"/>
      <w:numFmt w:val="lowerLetter"/>
      <w:lvlText w:val="%2."/>
      <w:lvlJc w:val="left"/>
      <w:pPr>
        <w:ind w:left="1287" w:hanging="567"/>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2" w:tplc="6694CFCE">
      <w:start w:val="1"/>
      <w:numFmt w:val="lowerRoman"/>
      <w:lvlText w:val="%3."/>
      <w:lvlJc w:val="left"/>
      <w:pPr>
        <w:ind w:left="2007" w:hanging="509"/>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3" w:tplc="C430DAD4">
      <w:start w:val="1"/>
      <w:numFmt w:val="decimal"/>
      <w:lvlText w:val="%4."/>
      <w:lvlJc w:val="left"/>
      <w:pPr>
        <w:ind w:left="2727" w:hanging="567"/>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4" w:tplc="9D16D282">
      <w:start w:val="1"/>
      <w:numFmt w:val="lowerLetter"/>
      <w:lvlText w:val="%5."/>
      <w:lvlJc w:val="left"/>
      <w:pPr>
        <w:ind w:left="3447" w:hanging="567"/>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5" w:tplc="5E6CC982">
      <w:start w:val="1"/>
      <w:numFmt w:val="lowerRoman"/>
      <w:lvlText w:val="%6."/>
      <w:lvlJc w:val="left"/>
      <w:pPr>
        <w:ind w:left="4167" w:hanging="509"/>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6" w:tplc="08005BD8">
      <w:start w:val="1"/>
      <w:numFmt w:val="decimal"/>
      <w:lvlText w:val="%7."/>
      <w:lvlJc w:val="left"/>
      <w:pPr>
        <w:ind w:left="4887" w:hanging="567"/>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7" w:tplc="E078DAB6">
      <w:start w:val="1"/>
      <w:numFmt w:val="lowerLetter"/>
      <w:lvlText w:val="%8."/>
      <w:lvlJc w:val="left"/>
      <w:pPr>
        <w:ind w:left="5607" w:hanging="567"/>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8" w:tplc="318AD81C">
      <w:start w:val="1"/>
      <w:numFmt w:val="lowerRoman"/>
      <w:lvlText w:val="%9."/>
      <w:lvlJc w:val="left"/>
      <w:pPr>
        <w:ind w:left="6327" w:hanging="509"/>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5">
    <w:nsid w:val="119B1518"/>
    <w:multiLevelType w:val="hybridMultilevel"/>
    <w:tmpl w:val="8070C494"/>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6">
    <w:nsid w:val="13CD4A69"/>
    <w:multiLevelType w:val="hybridMultilevel"/>
    <w:tmpl w:val="8EF86A9C"/>
    <w:lvl w:ilvl="0" w:tplc="C4DA695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nsid w:val="240639C1"/>
    <w:multiLevelType w:val="hybridMultilevel"/>
    <w:tmpl w:val="418E59FA"/>
    <w:numStyleLink w:val="ImportedStyle3"/>
  </w:abstractNum>
  <w:abstractNum w:abstractNumId="8">
    <w:nsid w:val="2416119D"/>
    <w:multiLevelType w:val="hybridMultilevel"/>
    <w:tmpl w:val="49F6EC6C"/>
    <w:lvl w:ilvl="0" w:tplc="10A26C3C">
      <w:start w:val="1"/>
      <w:numFmt w:val="decimal"/>
      <w:lvlText w:val="%1."/>
      <w:lvlJc w:val="left"/>
      <w:pPr>
        <w:tabs>
          <w:tab w:val="num" w:pos="1416"/>
        </w:tabs>
        <w:ind w:left="720" w:firstLine="414"/>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A24828EA">
      <w:start w:val="1"/>
      <w:numFmt w:val="lowerLetter"/>
      <w:lvlText w:val="%2."/>
      <w:lvlJc w:val="left"/>
      <w:pPr>
        <w:tabs>
          <w:tab w:val="num" w:pos="2018"/>
        </w:tabs>
        <w:ind w:left="1322" w:firstLine="532"/>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2" w:tplc="1EE8E9BA">
      <w:start w:val="1"/>
      <w:numFmt w:val="lowerRoman"/>
      <w:lvlText w:val="%3."/>
      <w:lvlJc w:val="left"/>
      <w:pPr>
        <w:tabs>
          <w:tab w:val="num" w:pos="2748"/>
        </w:tabs>
        <w:ind w:left="2052" w:hanging="104"/>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3" w:tplc="478E7134">
      <w:start w:val="1"/>
      <w:numFmt w:val="decimal"/>
      <w:lvlText w:val="%4."/>
      <w:lvlJc w:val="left"/>
      <w:pPr>
        <w:tabs>
          <w:tab w:val="num" w:pos="3462"/>
        </w:tabs>
        <w:ind w:left="2766" w:firstLine="552"/>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4" w:tplc="73E0F2E8">
      <w:start w:val="1"/>
      <w:numFmt w:val="lowerLetter"/>
      <w:lvlText w:val="%5."/>
      <w:lvlJc w:val="left"/>
      <w:pPr>
        <w:tabs>
          <w:tab w:val="num" w:pos="4183"/>
        </w:tabs>
        <w:ind w:left="3487" w:firstLine="56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5" w:tplc="461862CA">
      <w:start w:val="1"/>
      <w:numFmt w:val="lowerRoman"/>
      <w:lvlText w:val="%6."/>
      <w:lvlJc w:val="left"/>
      <w:pPr>
        <w:tabs>
          <w:tab w:val="num" w:pos="4913"/>
        </w:tabs>
        <w:ind w:left="4217" w:hanging="74"/>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6" w:tplc="6AA82714">
      <w:start w:val="1"/>
      <w:numFmt w:val="decimal"/>
      <w:suff w:val="nothing"/>
      <w:lvlText w:val="%7."/>
      <w:lvlJc w:val="left"/>
      <w:pPr>
        <w:ind w:left="4931" w:firstLine="58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7" w:tplc="8326C814">
      <w:start w:val="1"/>
      <w:numFmt w:val="lowerLetter"/>
      <w:lvlText w:val="%8."/>
      <w:lvlJc w:val="left"/>
      <w:pPr>
        <w:tabs>
          <w:tab w:val="num" w:pos="6348"/>
        </w:tabs>
        <w:ind w:left="5652" w:hanging="102"/>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8" w:tplc="6098292A">
      <w:start w:val="1"/>
      <w:numFmt w:val="lowerRoman"/>
      <w:lvlText w:val="%9."/>
      <w:lvlJc w:val="left"/>
      <w:pPr>
        <w:tabs>
          <w:tab w:val="num" w:pos="7078"/>
        </w:tabs>
        <w:ind w:left="6382" w:hanging="4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9">
    <w:nsid w:val="28D70338"/>
    <w:multiLevelType w:val="hybridMultilevel"/>
    <w:tmpl w:val="6DC0F1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66879A7"/>
    <w:multiLevelType w:val="hybridMultilevel"/>
    <w:tmpl w:val="50EE350E"/>
    <w:lvl w:ilvl="0" w:tplc="FC0E6DD0">
      <w:start w:val="1"/>
      <w:numFmt w:val="decimal"/>
      <w:lvlText w:val="%1)"/>
      <w:lvlJc w:val="left"/>
      <w:pPr>
        <w:ind w:left="1418" w:hanging="425"/>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589A9048">
      <w:start w:val="1"/>
      <w:numFmt w:val="lowerLetter"/>
      <w:lvlText w:val="%2."/>
      <w:lvlJc w:val="left"/>
      <w:pPr>
        <w:ind w:left="2020" w:hanging="100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2" w:tplc="9BD6DD76">
      <w:start w:val="1"/>
      <w:numFmt w:val="lowerRoman"/>
      <w:lvlText w:val="%3."/>
      <w:lvlJc w:val="left"/>
      <w:pPr>
        <w:tabs>
          <w:tab w:val="left" w:pos="1416"/>
        </w:tabs>
        <w:ind w:left="2750" w:hanging="94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3" w:tplc="7A58DE46">
      <w:start w:val="1"/>
      <w:numFmt w:val="decimal"/>
      <w:lvlText w:val="%4."/>
      <w:lvlJc w:val="left"/>
      <w:pPr>
        <w:tabs>
          <w:tab w:val="left" w:pos="1416"/>
        </w:tabs>
        <w:ind w:left="3464" w:hanging="98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4" w:tplc="C6BA79C2">
      <w:start w:val="1"/>
      <w:numFmt w:val="lowerLetter"/>
      <w:lvlText w:val="%5."/>
      <w:lvlJc w:val="left"/>
      <w:pPr>
        <w:tabs>
          <w:tab w:val="left" w:pos="1416"/>
        </w:tabs>
        <w:ind w:left="4185" w:hanging="972"/>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5" w:tplc="7E70FD22">
      <w:start w:val="1"/>
      <w:numFmt w:val="lowerRoman"/>
      <w:lvlText w:val="%6."/>
      <w:lvlJc w:val="left"/>
      <w:pPr>
        <w:tabs>
          <w:tab w:val="left" w:pos="1416"/>
        </w:tabs>
        <w:ind w:left="4915" w:hanging="91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6" w:tplc="BE4042C2">
      <w:start w:val="1"/>
      <w:numFmt w:val="decimal"/>
      <w:lvlText w:val="%7."/>
      <w:lvlJc w:val="left"/>
      <w:pPr>
        <w:tabs>
          <w:tab w:val="left" w:pos="1416"/>
        </w:tabs>
        <w:ind w:left="5629" w:hanging="952"/>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7" w:tplc="9B72077E">
      <w:start w:val="1"/>
      <w:numFmt w:val="lowerLetter"/>
      <w:lvlText w:val="%8."/>
      <w:lvlJc w:val="left"/>
      <w:pPr>
        <w:tabs>
          <w:tab w:val="left" w:pos="1416"/>
        </w:tabs>
        <w:ind w:left="6350" w:hanging="941"/>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8" w:tplc="A9C09E2E">
      <w:start w:val="1"/>
      <w:numFmt w:val="lowerRoman"/>
      <w:lvlText w:val="%9."/>
      <w:lvlJc w:val="left"/>
      <w:pPr>
        <w:tabs>
          <w:tab w:val="left" w:pos="1416"/>
        </w:tabs>
        <w:ind w:left="7080" w:hanging="882"/>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1">
    <w:nsid w:val="46ED3D9E"/>
    <w:multiLevelType w:val="hybridMultilevel"/>
    <w:tmpl w:val="49F6EC6C"/>
    <w:numStyleLink w:val="ImportedStyle1"/>
  </w:abstractNum>
  <w:abstractNum w:abstractNumId="12">
    <w:nsid w:val="550A2FCF"/>
    <w:multiLevelType w:val="hybridMultilevel"/>
    <w:tmpl w:val="D4C6452E"/>
    <w:lvl w:ilvl="0" w:tplc="55CE3CDA">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568040AE"/>
    <w:multiLevelType w:val="hybridMultilevel"/>
    <w:tmpl w:val="49F6EC6C"/>
    <w:styleLink w:val="ImportedStyle1"/>
    <w:lvl w:ilvl="0" w:tplc="A630250C">
      <w:start w:val="1"/>
      <w:numFmt w:val="decimal"/>
      <w:lvlText w:val="%1."/>
      <w:lvlJc w:val="left"/>
      <w:pPr>
        <w:tabs>
          <w:tab w:val="num" w:pos="1416"/>
        </w:tabs>
        <w:ind w:left="720" w:firstLine="414"/>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C456CCDE">
      <w:start w:val="1"/>
      <w:numFmt w:val="lowerLetter"/>
      <w:lvlText w:val="%2."/>
      <w:lvlJc w:val="left"/>
      <w:pPr>
        <w:tabs>
          <w:tab w:val="num" w:pos="2018"/>
        </w:tabs>
        <w:ind w:left="1322" w:firstLine="532"/>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2" w:tplc="D9262BF6">
      <w:start w:val="1"/>
      <w:numFmt w:val="lowerRoman"/>
      <w:lvlText w:val="%3."/>
      <w:lvlJc w:val="left"/>
      <w:pPr>
        <w:tabs>
          <w:tab w:val="num" w:pos="2748"/>
        </w:tabs>
        <w:ind w:left="2052" w:hanging="104"/>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3" w:tplc="C60EBBB0">
      <w:start w:val="1"/>
      <w:numFmt w:val="decimal"/>
      <w:lvlText w:val="%4."/>
      <w:lvlJc w:val="left"/>
      <w:pPr>
        <w:tabs>
          <w:tab w:val="num" w:pos="3462"/>
        </w:tabs>
        <w:ind w:left="2766" w:firstLine="552"/>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4" w:tplc="073624EC">
      <w:start w:val="1"/>
      <w:numFmt w:val="lowerLetter"/>
      <w:lvlText w:val="%5."/>
      <w:lvlJc w:val="left"/>
      <w:pPr>
        <w:tabs>
          <w:tab w:val="num" w:pos="4183"/>
        </w:tabs>
        <w:ind w:left="3487" w:firstLine="56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5" w:tplc="FD56853A">
      <w:start w:val="1"/>
      <w:numFmt w:val="lowerRoman"/>
      <w:lvlText w:val="%6."/>
      <w:lvlJc w:val="left"/>
      <w:pPr>
        <w:tabs>
          <w:tab w:val="num" w:pos="4913"/>
        </w:tabs>
        <w:ind w:left="4217" w:hanging="74"/>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6" w:tplc="7B5CDEA8">
      <w:start w:val="1"/>
      <w:numFmt w:val="decimal"/>
      <w:suff w:val="nothing"/>
      <w:lvlText w:val="%7."/>
      <w:lvlJc w:val="left"/>
      <w:pPr>
        <w:ind w:left="4931" w:firstLine="58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7" w:tplc="53927450">
      <w:start w:val="1"/>
      <w:numFmt w:val="lowerLetter"/>
      <w:lvlText w:val="%8."/>
      <w:lvlJc w:val="left"/>
      <w:pPr>
        <w:tabs>
          <w:tab w:val="num" w:pos="6348"/>
        </w:tabs>
        <w:ind w:left="5652" w:hanging="102"/>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8" w:tplc="9938951E">
      <w:start w:val="1"/>
      <w:numFmt w:val="lowerRoman"/>
      <w:lvlText w:val="%9."/>
      <w:lvlJc w:val="left"/>
      <w:pPr>
        <w:tabs>
          <w:tab w:val="num" w:pos="7078"/>
        </w:tabs>
        <w:ind w:left="6382" w:hanging="4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4">
    <w:nsid w:val="5BBC0FD8"/>
    <w:multiLevelType w:val="hybridMultilevel"/>
    <w:tmpl w:val="8494B2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6FAC6B1E"/>
    <w:multiLevelType w:val="hybridMultilevel"/>
    <w:tmpl w:val="50EE350E"/>
    <w:styleLink w:val="ImportedStyle2"/>
    <w:lvl w:ilvl="0" w:tplc="A860EF0C">
      <w:start w:val="1"/>
      <w:numFmt w:val="decimal"/>
      <w:lvlText w:val="%1)"/>
      <w:lvlJc w:val="left"/>
      <w:pPr>
        <w:ind w:left="1418" w:hanging="425"/>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4C606072">
      <w:start w:val="1"/>
      <w:numFmt w:val="lowerLetter"/>
      <w:lvlText w:val="%2."/>
      <w:lvlJc w:val="left"/>
      <w:pPr>
        <w:ind w:left="2020" w:hanging="100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2" w:tplc="491E610C">
      <w:start w:val="1"/>
      <w:numFmt w:val="lowerRoman"/>
      <w:lvlText w:val="%3."/>
      <w:lvlJc w:val="left"/>
      <w:pPr>
        <w:tabs>
          <w:tab w:val="left" w:pos="1416"/>
        </w:tabs>
        <w:ind w:left="2750" w:hanging="94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3" w:tplc="6AAA7452">
      <w:start w:val="1"/>
      <w:numFmt w:val="decimal"/>
      <w:lvlText w:val="%4."/>
      <w:lvlJc w:val="left"/>
      <w:pPr>
        <w:tabs>
          <w:tab w:val="left" w:pos="1416"/>
        </w:tabs>
        <w:ind w:left="3464" w:hanging="98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4" w:tplc="DC8CA6C0">
      <w:start w:val="1"/>
      <w:numFmt w:val="lowerLetter"/>
      <w:lvlText w:val="%5."/>
      <w:lvlJc w:val="left"/>
      <w:pPr>
        <w:tabs>
          <w:tab w:val="left" w:pos="1416"/>
        </w:tabs>
        <w:ind w:left="4185" w:hanging="972"/>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5" w:tplc="81180B06">
      <w:start w:val="1"/>
      <w:numFmt w:val="lowerRoman"/>
      <w:lvlText w:val="%6."/>
      <w:lvlJc w:val="left"/>
      <w:pPr>
        <w:tabs>
          <w:tab w:val="left" w:pos="1416"/>
        </w:tabs>
        <w:ind w:left="4915" w:hanging="91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6" w:tplc="519E8CD6">
      <w:start w:val="1"/>
      <w:numFmt w:val="decimal"/>
      <w:lvlText w:val="%7."/>
      <w:lvlJc w:val="left"/>
      <w:pPr>
        <w:tabs>
          <w:tab w:val="left" w:pos="1416"/>
        </w:tabs>
        <w:ind w:left="5629" w:hanging="952"/>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7" w:tplc="93B2B214">
      <w:start w:val="1"/>
      <w:numFmt w:val="lowerLetter"/>
      <w:lvlText w:val="%8."/>
      <w:lvlJc w:val="left"/>
      <w:pPr>
        <w:tabs>
          <w:tab w:val="left" w:pos="1416"/>
        </w:tabs>
        <w:ind w:left="6350" w:hanging="941"/>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8" w:tplc="4DF04D7E">
      <w:start w:val="1"/>
      <w:numFmt w:val="lowerRoman"/>
      <w:lvlText w:val="%9."/>
      <w:lvlJc w:val="left"/>
      <w:pPr>
        <w:tabs>
          <w:tab w:val="left" w:pos="1416"/>
        </w:tabs>
        <w:ind w:left="7080" w:hanging="882"/>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2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2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2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2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2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2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2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2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29">
    <w:nsid w:val="da4300bd"/>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4210">
    <w:nsid w:val="8c1c03f9"/>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91">
    <w:nsid w:val="5504a01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14"/>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12"/>
  </w:num>
  <w:num w:numId="10">
    <w:abstractNumId w:val="9"/>
  </w:num>
  <w:num w:numId="11">
    <w:abstractNumId w:val="1"/>
  </w:num>
  <w:num w:numId="12">
    <w:abstractNumId w:val="3"/>
  </w:num>
  <w:num w:numId="13">
    <w:abstractNumId w:val="3"/>
    <w:lvlOverride w:ilvl="0">
      <w:lvl w:ilvl="0" w:tplc="982A2C0C">
        <w:start w:val="1"/>
        <w:numFmt w:val="decimal"/>
        <w:lvlText w:val="%1)"/>
        <w:lvlJc w:val="left"/>
        <w:pPr>
          <w:tabs>
            <w:tab w:val="num" w:pos="1320"/>
          </w:tabs>
          <w:ind w:left="753" w:firstLine="174"/>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1">
      <w:lvl w:ilvl="1" w:tplc="2EEED2E0">
        <w:start w:val="1"/>
        <w:numFmt w:val="lowerLetter"/>
        <w:lvlText w:val="%2."/>
        <w:lvlJc w:val="left"/>
        <w:pPr>
          <w:tabs>
            <w:tab w:val="left" w:pos="1320"/>
            <w:tab w:val="num" w:pos="2040"/>
          </w:tabs>
          <w:ind w:left="1473" w:firstLine="174"/>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2">
      <w:lvl w:ilvl="2" w:tplc="6C16E5A6">
        <w:start w:val="1"/>
        <w:numFmt w:val="lowerRoman"/>
        <w:lvlText w:val="%3."/>
        <w:lvlJc w:val="left"/>
        <w:pPr>
          <w:tabs>
            <w:tab w:val="left" w:pos="1320"/>
            <w:tab w:val="num" w:pos="2751"/>
          </w:tabs>
          <w:ind w:left="2184" w:firstLine="276"/>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3">
      <w:lvl w:ilvl="3" w:tplc="B1382BF8">
        <w:start w:val="1"/>
        <w:numFmt w:val="decimal"/>
        <w:lvlText w:val="%4."/>
        <w:lvlJc w:val="left"/>
        <w:pPr>
          <w:tabs>
            <w:tab w:val="left" w:pos="1320"/>
            <w:tab w:val="num" w:pos="3480"/>
          </w:tabs>
          <w:ind w:left="2913" w:firstLine="174"/>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4">
      <w:lvl w:ilvl="4" w:tplc="34366896">
        <w:start w:val="1"/>
        <w:numFmt w:val="lowerLetter"/>
        <w:lvlText w:val="%5."/>
        <w:lvlJc w:val="left"/>
        <w:pPr>
          <w:tabs>
            <w:tab w:val="left" w:pos="1320"/>
            <w:tab w:val="num" w:pos="4200"/>
          </w:tabs>
          <w:ind w:left="3633" w:firstLine="174"/>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5">
      <w:lvl w:ilvl="5" w:tplc="E3F006B6">
        <w:start w:val="1"/>
        <w:numFmt w:val="lowerRoman"/>
        <w:lvlText w:val="%6."/>
        <w:lvlJc w:val="left"/>
        <w:pPr>
          <w:tabs>
            <w:tab w:val="left" w:pos="1320"/>
            <w:tab w:val="num" w:pos="4911"/>
          </w:tabs>
          <w:ind w:left="4344" w:firstLine="276"/>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6">
      <w:lvl w:ilvl="6" w:tplc="D81ADFA4">
        <w:start w:val="1"/>
        <w:numFmt w:val="decimal"/>
        <w:lvlText w:val="%7."/>
        <w:lvlJc w:val="left"/>
        <w:pPr>
          <w:tabs>
            <w:tab w:val="left" w:pos="1320"/>
            <w:tab w:val="num" w:pos="5640"/>
          </w:tabs>
          <w:ind w:left="5073" w:firstLine="174"/>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7">
      <w:lvl w:ilvl="7" w:tplc="2368D6BC">
        <w:start w:val="1"/>
        <w:numFmt w:val="lowerLetter"/>
        <w:lvlText w:val="%8."/>
        <w:lvlJc w:val="left"/>
        <w:pPr>
          <w:tabs>
            <w:tab w:val="left" w:pos="1320"/>
            <w:tab w:val="num" w:pos="6360"/>
          </w:tabs>
          <w:ind w:left="5793" w:firstLine="174"/>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8">
      <w:lvl w:ilvl="8" w:tplc="697E7EE8">
        <w:start w:val="1"/>
        <w:numFmt w:val="lowerRoman"/>
        <w:lvlText w:val="%9."/>
        <w:lvlJc w:val="left"/>
        <w:pPr>
          <w:tabs>
            <w:tab w:val="left" w:pos="1320"/>
            <w:tab w:val="num" w:pos="7071"/>
          </w:tabs>
          <w:ind w:left="6504" w:firstLine="276"/>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num>
  <w:num w:numId="14">
    <w:abstractNumId w:val="10"/>
  </w:num>
  <w:num w:numId="15">
    <w:abstractNumId w:val="5"/>
  </w:num>
  <w:num w:numId="16">
    <w:abstractNumId w:val="6"/>
  </w:num>
  <w:num w:numId="17">
    <w:abstractNumId w:val="11"/>
  </w:num>
  <w:num w:numId="18">
    <w:abstractNumId w:val="8"/>
  </w:num>
  <w:num w:numId="19">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1">
    <w:abstractNumId w:val="9942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2">
    <w:abstractNumId w:val="9942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3">
    <w:abstractNumId w:val="9942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D4E12"/>
    <w:pPr>
      <w:spacing w:after="0" w:line="360" w:lineRule="auto"/>
      <w:ind w:firstLine="567"/>
      <w:jc w:val="both"/>
    </w:pPr>
    <w:rPr>
      <w:rFonts w:ascii="Times New Roman" w:hAnsi="Times New Roman" w:cs="Times New Roman"/>
      <w:sz w:val="28"/>
      <w:szCs w:val="24"/>
      <w:lang w:val="en-US"/>
    </w:rPr>
  </w:style>
  <w:style w:type="paragraph" w:styleId="Heading1">
    <w:name w:val="heading 1"/>
    <w:next w:val="Normal"/>
    <w:link w:val="Heading1Char"/>
    <w:uiPriority w:val="9"/>
    <w:qFormat/>
    <w:rsid w:val="009C2113"/>
    <w:pPr>
      <w:keepNext/>
      <w:keepLines/>
      <w:pageBreakBefore/>
      <w:spacing w:after="0" w:line="360" w:lineRule="auto"/>
      <w:jc w:val="center"/>
      <w:outlineLvl w:val="0"/>
    </w:pPr>
    <w:rPr>
      <w:rFonts w:ascii="Times New Roman" w:eastAsia="Cambria" w:hAnsi="Times New Roman" w:cs="Cambria"/>
      <w:b/>
      <w:caps/>
      <w:color w:val="000000" w:themeColor="text1"/>
      <w:sz w:val="28"/>
      <w:szCs w:val="32"/>
      <w:u w:color="365F91"/>
      <w:lang w:val="en-US" w:eastAsia="ru-RU"/>
    </w:rPr>
  </w:style>
  <w:style w:type="paragraph" w:styleId="Heading2">
    <w:name w:val="heading 2"/>
    <w:basedOn w:val="Normal"/>
    <w:next w:val="Normal"/>
    <w:link w:val="Heading2Char"/>
    <w:unhideWhenUsed/>
    <w:qFormat/>
    <w:rsid w:val="000D5E20"/>
    <w:pPr>
      <w:keepNext/>
      <w:keepLines/>
      <w:spacing w:before="160" w:after="120" w:line="259" w:lineRule="auto"/>
      <w:jc w:val="center"/>
      <w:outlineLvl w:val="1"/>
    </w:pPr>
    <w:rPr>
      <w:rFonts w:eastAsiaTheme="majorEastAsia" w:cstheme="majorBidi"/>
      <w:b/>
      <w:caps/>
      <w:color w:val="000000" w:themeColor="text1"/>
      <w:szCs w:val="26"/>
      <w:lang w:val="ru-RU"/>
    </w:rPr>
  </w:style>
  <w:style w:type="paragraph" w:styleId="Heading3">
    <w:name w:val="heading 3"/>
    <w:basedOn w:val="Normal"/>
    <w:next w:val="Normal"/>
    <w:link w:val="Heading3Char"/>
    <w:uiPriority w:val="9"/>
    <w:unhideWhenUsed/>
    <w:qFormat/>
    <w:rsid w:val="00183824"/>
    <w:pPr>
      <w:keepNext/>
      <w:keepLines/>
      <w:spacing w:before="40"/>
      <w:outlineLvl w:val="2"/>
    </w:pPr>
    <w:rPr>
      <w:rFonts w:eastAsiaTheme="majorEastAsia" w:cstheme="majorBidi"/>
      <w:i/>
      <w:color w:val="000000" w:themeColor="text1"/>
    </w:rPr>
  </w:style>
  <w:style w:type="paragraph" w:styleId="Heading4">
    <w:name w:val="heading 4"/>
    <w:basedOn w:val="Normal"/>
    <w:next w:val="Normal"/>
    <w:link w:val="Heading4Char"/>
    <w:uiPriority w:val="9"/>
    <w:semiHidden/>
    <w:unhideWhenUsed/>
    <w:qFormat/>
    <w:rsid w:val="00833187"/>
    <w:pPr>
      <w:keepNext/>
      <w:keepLines/>
      <w:spacing w:before="40" w:line="240" w:lineRule="auto"/>
      <w:jc w:val="center"/>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3E6643"/>
    <w:pPr>
      <w:spacing w:after="160" w:line="259" w:lineRule="auto"/>
      <w:ind w:left="720"/>
      <w:contextualSpacing/>
    </w:pPr>
    <w:rPr>
      <w:rFonts w:asciiTheme="minorHAnsi" w:hAnsiTheme="minorHAnsi" w:cstheme="minorBidi"/>
      <w:sz w:val="22"/>
      <w:szCs w:val="22"/>
      <w:lang w:val="ru-RU"/>
    </w:rPr>
  </w:style>
  <w:style w:type="character" w:customStyle="1" w:styleId="Heading1Char">
    <w:name w:val="Heading 1 Char"/>
    <w:basedOn w:val="DefaultParagraphFont"/>
    <w:link w:val="Heading1"/>
    <w:uiPriority w:val="9"/>
    <w:rsid w:val="009C2113"/>
    <w:rPr>
      <w:rFonts w:ascii="Times New Roman" w:eastAsia="Cambria" w:hAnsi="Times New Roman" w:cs="Cambria"/>
      <w:b/>
      <w:caps/>
      <w:color w:val="000000" w:themeColor="text1"/>
      <w:sz w:val="28"/>
      <w:szCs w:val="32"/>
      <w:u w:color="365F91"/>
      <w:lang w:val="en-US" w:eastAsia="ru-RU"/>
    </w:rPr>
  </w:style>
  <w:style w:type="paragraph" w:styleId="NormalWeb">
    <w:name w:val="Normal (Web)"/>
    <w:uiPriority w:val="99"/>
    <w:unhideWhenUsed/>
    <w:rsid w:val="003E6643"/>
    <w:pPr>
      <w:spacing w:before="100" w:after="100" w:line="276" w:lineRule="auto"/>
    </w:pPr>
    <w:rPr>
      <w:rFonts w:ascii="Times New Roman" w:eastAsia="Arial Unicode MS" w:hAnsi="Times New Roman" w:cs="Arial Unicode MS"/>
      <w:color w:val="000000"/>
      <w:sz w:val="24"/>
      <w:szCs w:val="24"/>
      <w:u w:color="000000"/>
      <w:lang w:val="en-US" w:eastAsia="ru-RU"/>
    </w:rPr>
  </w:style>
  <w:style w:type="paragraph" w:styleId="TOC1">
    <w:name w:val="toc 1"/>
    <w:autoRedefine/>
    <w:uiPriority w:val="39"/>
    <w:unhideWhenUsed/>
    <w:rsid w:val="00911928"/>
    <w:pPr>
      <w:spacing w:before="120" w:after="0" w:line="360" w:lineRule="auto"/>
      <w:ind w:firstLine="567"/>
    </w:pPr>
    <w:rPr>
      <w:rFonts w:ascii="Times New Roman" w:hAnsi="Times New Roman" w:cs="Times New Roman"/>
      <w:b/>
      <w:bCs/>
      <w:sz w:val="28"/>
      <w:szCs w:val="24"/>
      <w:lang w:val="en-US"/>
    </w:rPr>
  </w:style>
  <w:style w:type="paragraph" w:styleId="TOC2">
    <w:name w:val="toc 2"/>
    <w:autoRedefine/>
    <w:uiPriority w:val="39"/>
    <w:unhideWhenUsed/>
    <w:rsid w:val="00911928"/>
    <w:pPr>
      <w:spacing w:after="0" w:line="360" w:lineRule="auto"/>
      <w:ind w:left="280" w:firstLine="567"/>
    </w:pPr>
    <w:rPr>
      <w:rFonts w:ascii="Times New Roman" w:hAnsi="Times New Roman" w:cs="Times New Roman"/>
      <w:bCs/>
      <w:sz w:val="28"/>
      <w:lang w:val="en-US"/>
    </w:rPr>
  </w:style>
  <w:style w:type="paragraph" w:styleId="TOCHeading">
    <w:name w:val="TOC Heading"/>
    <w:next w:val="Normal"/>
    <w:uiPriority w:val="39"/>
    <w:unhideWhenUsed/>
    <w:qFormat/>
    <w:rsid w:val="000E6EF4"/>
    <w:pPr>
      <w:keepNext/>
      <w:keepLines/>
      <w:pageBreakBefore/>
      <w:spacing w:after="0" w:line="360" w:lineRule="auto"/>
      <w:jc w:val="center"/>
    </w:pPr>
    <w:rPr>
      <w:rFonts w:ascii="Times New Roman" w:eastAsia="Arial Unicode MS" w:hAnsi="Times New Roman" w:cs="Arial Unicode MS"/>
      <w:b/>
      <w:caps/>
      <w:color w:val="000000" w:themeColor="text1"/>
      <w:sz w:val="28"/>
      <w:szCs w:val="32"/>
      <w:u w:color="365F91"/>
      <w:lang w:val="en-US" w:eastAsia="ru-RU"/>
    </w:rPr>
  </w:style>
  <w:style w:type="paragraph" w:customStyle="1" w:styleId="Style21">
    <w:name w:val="Style21"/>
    <w:rsid w:val="003E6643"/>
    <w:pPr>
      <w:widowControl w:val="0"/>
      <w:spacing w:after="200" w:line="276" w:lineRule="auto"/>
      <w:jc w:val="both"/>
    </w:pPr>
    <w:rPr>
      <w:rFonts w:ascii="Times New Roman" w:eastAsia="Times New Roman" w:hAnsi="Times New Roman" w:cs="Times New Roman"/>
      <w:color w:val="000000"/>
      <w:sz w:val="24"/>
      <w:szCs w:val="24"/>
      <w:u w:color="000000"/>
      <w:lang w:eastAsia="ru-RU"/>
    </w:rPr>
  </w:style>
  <w:style w:type="paragraph" w:customStyle="1" w:styleId="Style6">
    <w:name w:val="Style6"/>
    <w:rsid w:val="003E6643"/>
    <w:pPr>
      <w:widowControl w:val="0"/>
      <w:spacing w:after="200" w:line="276" w:lineRule="auto"/>
    </w:pPr>
    <w:rPr>
      <w:rFonts w:ascii="Times New Roman" w:eastAsia="Times New Roman" w:hAnsi="Times New Roman" w:cs="Times New Roman"/>
      <w:color w:val="000000"/>
      <w:sz w:val="24"/>
      <w:szCs w:val="24"/>
      <w:u w:color="000000"/>
      <w:lang w:eastAsia="ru-RU"/>
    </w:rPr>
  </w:style>
  <w:style w:type="paragraph" w:customStyle="1" w:styleId="Style50">
    <w:name w:val="Style50"/>
    <w:rsid w:val="003E6643"/>
    <w:pPr>
      <w:widowControl w:val="0"/>
      <w:spacing w:after="200" w:line="276" w:lineRule="exact"/>
    </w:pPr>
    <w:rPr>
      <w:rFonts w:ascii="Times New Roman" w:eastAsia="Times New Roman" w:hAnsi="Times New Roman" w:cs="Times New Roman"/>
      <w:color w:val="000000"/>
      <w:sz w:val="24"/>
      <w:szCs w:val="24"/>
      <w:u w:color="000000"/>
      <w:lang w:eastAsia="ru-RU"/>
    </w:rPr>
  </w:style>
  <w:style w:type="character" w:customStyle="1" w:styleId="NoneA">
    <w:name w:val="None A"/>
    <w:rsid w:val="003E6643"/>
  </w:style>
  <w:style w:type="numbering" w:customStyle="1" w:styleId="ImportedStyle1">
    <w:name w:val="Imported Style 1"/>
    <w:rsid w:val="003E6643"/>
    <w:pPr>
      <w:numPr>
        <w:numId w:val="4"/>
      </w:numPr>
    </w:pPr>
  </w:style>
  <w:style w:type="character" w:customStyle="1" w:styleId="Heading2Char">
    <w:name w:val="Heading 2 Char"/>
    <w:basedOn w:val="DefaultParagraphFont"/>
    <w:link w:val="Heading2"/>
    <w:rsid w:val="000D5E20"/>
    <w:rPr>
      <w:rFonts w:ascii="Times New Roman" w:eastAsiaTheme="majorEastAsia" w:hAnsi="Times New Roman" w:cstheme="majorBidi"/>
      <w:b/>
      <w:caps/>
      <w:color w:val="000000" w:themeColor="text1"/>
      <w:sz w:val="28"/>
      <w:szCs w:val="26"/>
    </w:rPr>
  </w:style>
  <w:style w:type="numbering" w:customStyle="1" w:styleId="ImportedStyle2">
    <w:name w:val="Imported Style 2"/>
    <w:rsid w:val="002E6BF1"/>
    <w:pPr>
      <w:numPr>
        <w:numId w:val="6"/>
      </w:numPr>
    </w:pPr>
  </w:style>
  <w:style w:type="paragraph" w:customStyle="1" w:styleId="BodyA">
    <w:name w:val="Body A"/>
    <w:rsid w:val="002E6BF1"/>
    <w:pPr>
      <w:spacing w:after="200" w:line="276" w:lineRule="auto"/>
    </w:pPr>
    <w:rPr>
      <w:rFonts w:ascii="Helvetica" w:eastAsia="Arial Unicode MS" w:hAnsi="Helvetica" w:cs="Arial Unicode MS"/>
      <w:color w:val="000000"/>
      <w:u w:color="000000"/>
      <w:lang w:val="en-US" w:eastAsia="ru-RU"/>
    </w:rPr>
  </w:style>
  <w:style w:type="character" w:customStyle="1" w:styleId="Hyperlink0">
    <w:name w:val="Hyperlink.0"/>
    <w:basedOn w:val="NoneA"/>
    <w:rsid w:val="002E6BF1"/>
    <w:rPr>
      <w:strike w:val="0"/>
      <w:dstrike w:val="0"/>
      <w:color w:val="000000"/>
      <w:u w:val="none" w:color="000000"/>
      <w:effect w:val="none"/>
    </w:rPr>
  </w:style>
  <w:style w:type="character" w:customStyle="1" w:styleId="Hyperlink1">
    <w:name w:val="Hyperlink.1"/>
    <w:basedOn w:val="NoneA"/>
    <w:rsid w:val="002E6BF1"/>
    <w:rPr>
      <w:strike w:val="0"/>
      <w:dstrike w:val="0"/>
      <w:color w:val="000000"/>
      <w:u w:val="none" w:color="000000"/>
      <w:effect w:val="none"/>
      <w:shd w:val="clear" w:color="auto" w:fill="FFFFFF"/>
    </w:rPr>
  </w:style>
  <w:style w:type="character" w:customStyle="1" w:styleId="Hyperlink2">
    <w:name w:val="Hyperlink.2"/>
    <w:basedOn w:val="NoneA"/>
    <w:rsid w:val="002E6BF1"/>
    <w:rPr>
      <w:rFonts w:ascii="Times New Roman" w:eastAsia="Times New Roman" w:hAnsi="Times New Roman" w:cs="Times New Roman" w:hint="default"/>
      <w:color w:val="0000FF"/>
      <w:sz w:val="28"/>
      <w:szCs w:val="28"/>
      <w:u w:val="single" w:color="0000FF"/>
    </w:rPr>
  </w:style>
  <w:style w:type="character" w:styleId="Hyperlink">
    <w:name w:val="Hyperlink"/>
    <w:basedOn w:val="DefaultParagraphFont"/>
    <w:uiPriority w:val="99"/>
    <w:unhideWhenUsed/>
    <w:rsid w:val="002E6BF1"/>
    <w:rPr>
      <w:color w:val="0000FF"/>
      <w:u w:val="single"/>
    </w:rPr>
  </w:style>
  <w:style w:type="numbering" w:customStyle="1" w:styleId="ImportedStyle3">
    <w:name w:val="Imported Style 3"/>
    <w:rsid w:val="002E6BF1"/>
    <w:pPr>
      <w:numPr>
        <w:numId w:val="8"/>
      </w:numPr>
    </w:pPr>
  </w:style>
  <w:style w:type="character" w:customStyle="1" w:styleId="apple-converted-space">
    <w:name w:val="apple-converted-space"/>
    <w:basedOn w:val="DefaultParagraphFont"/>
    <w:rsid w:val="002E6BF1"/>
  </w:style>
  <w:style w:type="paragraph" w:styleId="HTMLPreformatted">
    <w:name w:val="HTML Preformatted"/>
    <w:basedOn w:val="Normal"/>
    <w:link w:val="HTMLPreformattedChar"/>
    <w:uiPriority w:val="99"/>
    <w:unhideWhenUsed/>
    <w:rsid w:val="0078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u-RU" w:eastAsia="ru-RU"/>
    </w:rPr>
  </w:style>
  <w:style w:type="character" w:customStyle="1" w:styleId="HTMLPreformattedChar">
    <w:name w:val="HTML Preformatted Char"/>
    <w:basedOn w:val="DefaultParagraphFont"/>
    <w:link w:val="HTMLPreformatted"/>
    <w:uiPriority w:val="99"/>
    <w:rsid w:val="007876CA"/>
    <w:rPr>
      <w:rFonts w:ascii="Courier New" w:eastAsia="Times New Roman" w:hAnsi="Courier New" w:cs="Courier New"/>
      <w:sz w:val="20"/>
      <w:szCs w:val="20"/>
      <w:lang w:eastAsia="ru-RU"/>
    </w:rPr>
  </w:style>
  <w:style w:type="character" w:customStyle="1" w:styleId="gghfmyibcob">
    <w:name w:val="gghfmyibcob"/>
    <w:basedOn w:val="DefaultParagraphFont"/>
    <w:rsid w:val="007876CA"/>
  </w:style>
  <w:style w:type="table" w:styleId="TableGrid">
    <w:name w:val="Table Grid"/>
    <w:basedOn w:val="TableNormal"/>
    <w:uiPriority w:val="39"/>
    <w:rsid w:val="00B978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513385"/>
    <w:rPr>
      <w:b/>
      <w:bCs/>
    </w:rPr>
  </w:style>
  <w:style w:type="character" w:styleId="FollowedHyperlink">
    <w:name w:val="FollowedHyperlink"/>
    <w:basedOn w:val="DefaultParagraphFont"/>
    <w:uiPriority w:val="99"/>
    <w:semiHidden/>
    <w:unhideWhenUsed/>
    <w:rsid w:val="003B66E1"/>
    <w:rPr>
      <w:color w:val="954F72" w:themeColor="followedHyperlink"/>
      <w:u w:val="single"/>
    </w:rPr>
  </w:style>
  <w:style w:type="paragraph" w:customStyle="1" w:styleId="msonormal0">
    <w:name w:val="msonormal"/>
    <w:rsid w:val="003B66E1"/>
    <w:pPr>
      <w:spacing w:before="100" w:after="100" w:line="276" w:lineRule="auto"/>
    </w:pPr>
    <w:rPr>
      <w:rFonts w:ascii="Times New Roman" w:eastAsia="Arial Unicode MS" w:hAnsi="Times New Roman" w:cs="Arial Unicode MS"/>
      <w:color w:val="000000"/>
      <w:sz w:val="24"/>
      <w:szCs w:val="24"/>
      <w:u w:color="000000"/>
      <w:lang w:val="en-US" w:eastAsia="ru-RU"/>
    </w:rPr>
  </w:style>
  <w:style w:type="paragraph" w:styleId="Header">
    <w:name w:val="header"/>
    <w:link w:val="HeaderChar"/>
    <w:uiPriority w:val="99"/>
    <w:unhideWhenUsed/>
    <w:rsid w:val="003B66E1"/>
    <w:pPr>
      <w:tabs>
        <w:tab w:val="center" w:pos="4819"/>
        <w:tab w:val="right" w:pos="9639"/>
      </w:tabs>
      <w:spacing w:after="200" w:line="276" w:lineRule="auto"/>
    </w:pPr>
    <w:rPr>
      <w:rFonts w:ascii="Calibri" w:eastAsia="Arial Unicode MS" w:hAnsi="Calibri" w:cs="Arial Unicode MS"/>
      <w:color w:val="000000"/>
      <w:u w:color="000000"/>
      <w:lang w:val="en-US" w:eastAsia="ru-RU"/>
    </w:rPr>
  </w:style>
  <w:style w:type="character" w:customStyle="1" w:styleId="HeaderChar">
    <w:name w:val="Header Char"/>
    <w:basedOn w:val="DefaultParagraphFont"/>
    <w:link w:val="Header"/>
    <w:uiPriority w:val="99"/>
    <w:rsid w:val="003B66E1"/>
    <w:rPr>
      <w:rFonts w:ascii="Calibri" w:eastAsia="Arial Unicode MS" w:hAnsi="Calibri" w:cs="Arial Unicode MS"/>
      <w:color w:val="000000"/>
      <w:u w:color="000000"/>
      <w:lang w:val="en-US" w:eastAsia="ru-RU"/>
    </w:rPr>
  </w:style>
  <w:style w:type="paragraph" w:customStyle="1" w:styleId="HeaderFooter">
    <w:name w:val="Header &amp; Footer"/>
    <w:rsid w:val="003B66E1"/>
    <w:pPr>
      <w:tabs>
        <w:tab w:val="right" w:pos="9020"/>
      </w:tabs>
      <w:spacing w:after="0" w:line="240" w:lineRule="auto"/>
    </w:pPr>
    <w:rPr>
      <w:rFonts w:ascii="Helvetica" w:eastAsia="Arial Unicode MS" w:hAnsi="Helvetica" w:cs="Arial Unicode MS"/>
      <w:color w:val="000000"/>
      <w:sz w:val="24"/>
      <w:szCs w:val="24"/>
      <w:u w:color="000000"/>
      <w:lang w:eastAsia="ru-RU"/>
    </w:rPr>
  </w:style>
  <w:style w:type="paragraph" w:customStyle="1" w:styleId="TableStyle2A">
    <w:name w:val="Table Style 2 A"/>
    <w:rsid w:val="003B66E1"/>
    <w:pPr>
      <w:spacing w:after="200" w:line="276" w:lineRule="auto"/>
    </w:pPr>
    <w:rPr>
      <w:rFonts w:ascii="Helvetica" w:eastAsia="Arial Unicode MS" w:hAnsi="Helvetica" w:cs="Arial Unicode MS"/>
      <w:color w:val="000000"/>
      <w:sz w:val="20"/>
      <w:szCs w:val="20"/>
      <w:u w:color="000000"/>
      <w:lang w:val="en-US" w:eastAsia="ru-RU"/>
    </w:rPr>
  </w:style>
  <w:style w:type="table" w:customStyle="1" w:styleId="TableNormal1">
    <w:name w:val="Table Normal1"/>
    <w:rsid w:val="003B66E1"/>
    <w:pPr>
      <w:spacing w:after="0" w:line="240" w:lineRule="auto"/>
    </w:pPr>
    <w:rPr>
      <w:rFonts w:ascii="Times New Roman" w:eastAsia="Arial Unicode MS" w:hAnsi="Times New Roman" w:cs="Times New Roman"/>
      <w:sz w:val="20"/>
      <w:szCs w:val="20"/>
      <w:bdr w:val="none" w:sz="0" w:space="0" w:color="auto" w:frame="1"/>
      <w:lang w:eastAsia="ru-RU"/>
    </w:rPr>
    <w:tblPr>
      <w:tblCellMar>
        <w:top w:w="0" w:type="dxa"/>
        <w:left w:w="0" w:type="dxa"/>
        <w:bottom w:w="0" w:type="dxa"/>
        <w:right w:w="0" w:type="dxa"/>
      </w:tblCellMar>
    </w:tblPr>
  </w:style>
  <w:style w:type="paragraph" w:styleId="Caption">
    <w:name w:val="caption"/>
    <w:basedOn w:val="Normal"/>
    <w:next w:val="Normal"/>
    <w:uiPriority w:val="35"/>
    <w:unhideWhenUsed/>
    <w:qFormat/>
    <w:rsid w:val="00911928"/>
    <w:pPr>
      <w:spacing w:after="200"/>
    </w:pPr>
    <w:rPr>
      <w:rFonts w:cstheme="minorBidi"/>
      <w:b/>
      <w:iCs/>
      <w:color w:val="000000" w:themeColor="text1"/>
      <w:szCs w:val="18"/>
      <w:lang w:val="ru-RU"/>
    </w:rPr>
  </w:style>
  <w:style w:type="paragraph" w:styleId="Footer">
    <w:name w:val="footer"/>
    <w:basedOn w:val="Normal"/>
    <w:link w:val="FooterChar"/>
    <w:uiPriority w:val="99"/>
    <w:unhideWhenUsed/>
    <w:rsid w:val="00B13886"/>
    <w:pPr>
      <w:tabs>
        <w:tab w:val="center" w:pos="4986"/>
        <w:tab w:val="right" w:pos="9973"/>
      </w:tabs>
    </w:pPr>
    <w:rPr>
      <w:rFonts w:asciiTheme="minorHAnsi" w:hAnsiTheme="minorHAnsi" w:cstheme="minorBidi"/>
      <w:sz w:val="22"/>
      <w:szCs w:val="22"/>
      <w:lang w:val="ru-RU"/>
    </w:rPr>
  </w:style>
  <w:style w:type="character" w:customStyle="1" w:styleId="FooterChar">
    <w:name w:val="Footer Char"/>
    <w:basedOn w:val="DefaultParagraphFont"/>
    <w:link w:val="Footer"/>
    <w:uiPriority w:val="99"/>
    <w:rsid w:val="00B13886"/>
  </w:style>
  <w:style w:type="character" w:styleId="Emphasis">
    <w:name w:val="Emphasis"/>
    <w:basedOn w:val="DefaultParagraphFont"/>
    <w:uiPriority w:val="20"/>
    <w:qFormat/>
    <w:rsid w:val="00B01BBF"/>
    <w:rPr>
      <w:i/>
      <w:iCs/>
    </w:rPr>
  </w:style>
  <w:style w:type="character" w:styleId="CommentReference">
    <w:name w:val="annotation reference"/>
    <w:basedOn w:val="DefaultParagraphFont"/>
    <w:uiPriority w:val="99"/>
    <w:semiHidden/>
    <w:unhideWhenUsed/>
    <w:rsid w:val="00D60E2E"/>
    <w:rPr>
      <w:sz w:val="18"/>
      <w:szCs w:val="18"/>
    </w:rPr>
  </w:style>
  <w:style w:type="paragraph" w:styleId="CommentText">
    <w:name w:val="annotation text"/>
    <w:basedOn w:val="Normal"/>
    <w:link w:val="CommentTextChar"/>
    <w:uiPriority w:val="99"/>
    <w:semiHidden/>
    <w:unhideWhenUsed/>
    <w:rsid w:val="00D60E2E"/>
  </w:style>
  <w:style w:type="character" w:customStyle="1" w:styleId="CommentTextChar">
    <w:name w:val="Comment Text Char"/>
    <w:basedOn w:val="DefaultParagraphFont"/>
    <w:link w:val="CommentText"/>
    <w:uiPriority w:val="99"/>
    <w:semiHidden/>
    <w:rsid w:val="00D60E2E"/>
    <w:rPr>
      <w:rFonts w:ascii="Times New Roman" w:hAnsi="Times New Roman" w:cs="Times New Roman"/>
      <w:sz w:val="24"/>
      <w:szCs w:val="24"/>
      <w:lang w:val="en-US"/>
    </w:rPr>
  </w:style>
  <w:style w:type="paragraph" w:styleId="CommentSubject">
    <w:name w:val="annotation subject"/>
    <w:basedOn w:val="CommentText"/>
    <w:next w:val="CommentText"/>
    <w:link w:val="CommentSubjectChar"/>
    <w:uiPriority w:val="99"/>
    <w:semiHidden/>
    <w:unhideWhenUsed/>
    <w:rsid w:val="00D60E2E"/>
    <w:rPr>
      <w:b/>
      <w:bCs/>
      <w:sz w:val="20"/>
      <w:szCs w:val="20"/>
    </w:rPr>
  </w:style>
  <w:style w:type="character" w:customStyle="1" w:styleId="CommentSubjectChar">
    <w:name w:val="Comment Subject Char"/>
    <w:basedOn w:val="CommentTextChar"/>
    <w:link w:val="CommentSubject"/>
    <w:uiPriority w:val="99"/>
    <w:semiHidden/>
    <w:rsid w:val="00D60E2E"/>
    <w:rPr>
      <w:rFonts w:ascii="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D60E2E"/>
    <w:rPr>
      <w:sz w:val="18"/>
      <w:szCs w:val="18"/>
    </w:rPr>
  </w:style>
  <w:style w:type="character" w:customStyle="1" w:styleId="BalloonTextChar">
    <w:name w:val="Balloon Text Char"/>
    <w:basedOn w:val="DefaultParagraphFont"/>
    <w:link w:val="BalloonText"/>
    <w:uiPriority w:val="99"/>
    <w:semiHidden/>
    <w:rsid w:val="00D60E2E"/>
    <w:rPr>
      <w:rFonts w:ascii="Times New Roman" w:hAnsi="Times New Roman" w:cs="Times New Roman"/>
      <w:sz w:val="18"/>
      <w:szCs w:val="18"/>
      <w:lang w:val="en-US"/>
    </w:rPr>
  </w:style>
  <w:style w:type="character" w:styleId="PageNumber">
    <w:name w:val="page number"/>
    <w:basedOn w:val="DefaultParagraphFont"/>
    <w:uiPriority w:val="99"/>
    <w:semiHidden/>
    <w:unhideWhenUsed/>
    <w:rsid w:val="004B4624"/>
  </w:style>
  <w:style w:type="paragraph" w:styleId="FootnoteText">
    <w:name w:val="footnote text"/>
    <w:basedOn w:val="Normal"/>
    <w:link w:val="FootnoteTextChar"/>
    <w:uiPriority w:val="99"/>
    <w:unhideWhenUsed/>
    <w:rsid w:val="00B730B2"/>
  </w:style>
  <w:style w:type="character" w:customStyle="1" w:styleId="FootnoteTextChar">
    <w:name w:val="Footnote Text Char"/>
    <w:basedOn w:val="DefaultParagraphFont"/>
    <w:link w:val="FootnoteText"/>
    <w:uiPriority w:val="99"/>
    <w:rsid w:val="00B730B2"/>
    <w:rPr>
      <w:rFonts w:ascii="Times New Roman" w:hAnsi="Times New Roman" w:cs="Times New Roman"/>
      <w:sz w:val="24"/>
      <w:szCs w:val="24"/>
      <w:lang w:val="en-US"/>
    </w:rPr>
  </w:style>
  <w:style w:type="character" w:styleId="FootnoteReference">
    <w:name w:val="footnote reference"/>
    <w:basedOn w:val="DefaultParagraphFont"/>
    <w:uiPriority w:val="99"/>
    <w:unhideWhenUsed/>
    <w:rsid w:val="00B730B2"/>
    <w:rPr>
      <w:vertAlign w:val="superscript"/>
    </w:rPr>
  </w:style>
  <w:style w:type="character" w:customStyle="1" w:styleId="Heading3Char">
    <w:name w:val="Heading 3 Char"/>
    <w:basedOn w:val="DefaultParagraphFont"/>
    <w:link w:val="Heading3"/>
    <w:uiPriority w:val="9"/>
    <w:rsid w:val="00183824"/>
    <w:rPr>
      <w:rFonts w:ascii="Times New Roman" w:eastAsiaTheme="majorEastAsia" w:hAnsi="Times New Roman" w:cstheme="majorBidi"/>
      <w:i/>
      <w:color w:val="000000" w:themeColor="text1"/>
      <w:sz w:val="28"/>
      <w:szCs w:val="24"/>
      <w:lang w:val="en-US"/>
    </w:rPr>
  </w:style>
  <w:style w:type="paragraph" w:styleId="TOC3">
    <w:name w:val="toc 3"/>
    <w:basedOn w:val="Normal"/>
    <w:next w:val="Normal"/>
    <w:autoRedefine/>
    <w:uiPriority w:val="39"/>
    <w:unhideWhenUsed/>
    <w:rsid w:val="00911928"/>
    <w:pPr>
      <w:ind w:left="560"/>
      <w:jc w:val="left"/>
    </w:pPr>
    <w:rPr>
      <w:i/>
      <w:szCs w:val="22"/>
    </w:rPr>
  </w:style>
  <w:style w:type="paragraph" w:styleId="Title">
    <w:name w:val="Title"/>
    <w:basedOn w:val="Normal"/>
    <w:next w:val="Normal"/>
    <w:link w:val="TitleChar"/>
    <w:uiPriority w:val="10"/>
    <w:qFormat/>
    <w:rsid w:val="00CB3C12"/>
    <w:pPr>
      <w:spacing w:line="240" w:lineRule="auto"/>
      <w:contextualSpacing/>
      <w:jc w:val="center"/>
    </w:pPr>
    <w:rPr>
      <w:rFonts w:eastAsiaTheme="majorEastAsia" w:cstheme="majorBidi"/>
      <w:caps/>
      <w:spacing w:val="-10"/>
      <w:kern w:val="28"/>
      <w:sz w:val="32"/>
      <w:szCs w:val="56"/>
    </w:rPr>
  </w:style>
  <w:style w:type="character" w:customStyle="1" w:styleId="TitleChar">
    <w:name w:val="Title Char"/>
    <w:basedOn w:val="DefaultParagraphFont"/>
    <w:link w:val="Title"/>
    <w:uiPriority w:val="10"/>
    <w:rsid w:val="00CB3C12"/>
    <w:rPr>
      <w:rFonts w:ascii="Times New Roman" w:eastAsiaTheme="majorEastAsia" w:hAnsi="Times New Roman" w:cstheme="majorBidi"/>
      <w:caps/>
      <w:spacing w:val="-10"/>
      <w:kern w:val="28"/>
      <w:sz w:val="32"/>
      <w:szCs w:val="56"/>
      <w:lang w:val="en-US"/>
    </w:rPr>
  </w:style>
  <w:style w:type="paragraph" w:styleId="TOC4">
    <w:name w:val="toc 4"/>
    <w:basedOn w:val="Normal"/>
    <w:next w:val="Normal"/>
    <w:autoRedefine/>
    <w:uiPriority w:val="39"/>
    <w:unhideWhenUsed/>
    <w:rsid w:val="00CA598A"/>
    <w:pPr>
      <w:ind w:left="840"/>
      <w:jc w:val="left"/>
    </w:pPr>
    <w:rPr>
      <w:rFonts w:asciiTheme="minorHAnsi" w:hAnsiTheme="minorHAnsi"/>
      <w:sz w:val="20"/>
      <w:szCs w:val="20"/>
    </w:rPr>
  </w:style>
  <w:style w:type="paragraph" w:styleId="TOC5">
    <w:name w:val="toc 5"/>
    <w:basedOn w:val="Normal"/>
    <w:next w:val="Normal"/>
    <w:autoRedefine/>
    <w:uiPriority w:val="39"/>
    <w:unhideWhenUsed/>
    <w:rsid w:val="00CA598A"/>
    <w:pPr>
      <w:ind w:left="1120"/>
      <w:jc w:val="left"/>
    </w:pPr>
    <w:rPr>
      <w:rFonts w:asciiTheme="minorHAnsi" w:hAnsiTheme="minorHAnsi"/>
      <w:sz w:val="20"/>
      <w:szCs w:val="20"/>
    </w:rPr>
  </w:style>
  <w:style w:type="paragraph" w:styleId="TOC6">
    <w:name w:val="toc 6"/>
    <w:basedOn w:val="Normal"/>
    <w:next w:val="Normal"/>
    <w:autoRedefine/>
    <w:uiPriority w:val="39"/>
    <w:unhideWhenUsed/>
    <w:rsid w:val="00CA598A"/>
    <w:pPr>
      <w:ind w:left="1400"/>
      <w:jc w:val="left"/>
    </w:pPr>
    <w:rPr>
      <w:rFonts w:asciiTheme="minorHAnsi" w:hAnsiTheme="minorHAnsi"/>
      <w:sz w:val="20"/>
      <w:szCs w:val="20"/>
    </w:rPr>
  </w:style>
  <w:style w:type="paragraph" w:styleId="TOC7">
    <w:name w:val="toc 7"/>
    <w:basedOn w:val="Normal"/>
    <w:next w:val="Normal"/>
    <w:autoRedefine/>
    <w:uiPriority w:val="39"/>
    <w:unhideWhenUsed/>
    <w:rsid w:val="00CA598A"/>
    <w:pPr>
      <w:ind w:left="1680"/>
      <w:jc w:val="left"/>
    </w:pPr>
    <w:rPr>
      <w:rFonts w:asciiTheme="minorHAnsi" w:hAnsiTheme="minorHAnsi"/>
      <w:sz w:val="20"/>
      <w:szCs w:val="20"/>
    </w:rPr>
  </w:style>
  <w:style w:type="paragraph" w:styleId="TOC8">
    <w:name w:val="toc 8"/>
    <w:basedOn w:val="Normal"/>
    <w:next w:val="Normal"/>
    <w:autoRedefine/>
    <w:uiPriority w:val="39"/>
    <w:unhideWhenUsed/>
    <w:rsid w:val="00CA598A"/>
    <w:pPr>
      <w:ind w:left="1960"/>
      <w:jc w:val="left"/>
    </w:pPr>
    <w:rPr>
      <w:rFonts w:asciiTheme="minorHAnsi" w:hAnsiTheme="minorHAnsi"/>
      <w:sz w:val="20"/>
      <w:szCs w:val="20"/>
    </w:rPr>
  </w:style>
  <w:style w:type="paragraph" w:styleId="TOC9">
    <w:name w:val="toc 9"/>
    <w:basedOn w:val="Normal"/>
    <w:next w:val="Normal"/>
    <w:autoRedefine/>
    <w:uiPriority w:val="39"/>
    <w:unhideWhenUsed/>
    <w:rsid w:val="00CA598A"/>
    <w:pPr>
      <w:ind w:left="2240"/>
      <w:jc w:val="left"/>
    </w:pPr>
    <w:rPr>
      <w:rFonts w:asciiTheme="minorHAnsi" w:hAnsiTheme="minorHAnsi"/>
      <w:sz w:val="20"/>
      <w:szCs w:val="20"/>
    </w:rPr>
  </w:style>
  <w:style w:type="paragraph" w:styleId="NoSpacing">
    <w:name w:val="No Spacing"/>
    <w:link w:val="NoSpacingChar"/>
    <w:uiPriority w:val="1"/>
    <w:qFormat/>
    <w:rsid w:val="00B15F96"/>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B15F96"/>
    <w:rPr>
      <w:rFonts w:eastAsiaTheme="minorEastAsia"/>
      <w:lang w:val="en-US" w:eastAsia="zh-CN"/>
    </w:rPr>
  </w:style>
  <w:style w:type="character" w:customStyle="1" w:styleId="Heading4Char">
    <w:name w:val="Heading 4 Char"/>
    <w:basedOn w:val="DefaultParagraphFont"/>
    <w:link w:val="Heading4"/>
    <w:uiPriority w:val="9"/>
    <w:semiHidden/>
    <w:rsid w:val="00833187"/>
    <w:rPr>
      <w:rFonts w:ascii="Times New Roman" w:eastAsiaTheme="majorEastAsia" w:hAnsi="Times New Roman" w:cstheme="majorBidi"/>
      <w:iCs/>
      <w:color w:val="000000" w:themeColor="text1"/>
      <w:sz w:val="28"/>
      <w:szCs w:val="24"/>
      <w:lang w:val="en-US"/>
    </w:rPr>
  </w:style>
  <w:style w:type="paragraph" w:customStyle="1" w:styleId="SourceCode">
    <w:name w:val="Source Code"/>
    <w:basedOn w:val="Normal"/>
    <w:link w:val="VerbatimChar"/>
    <w:pPr>
      <w:wordWrap w:val="off"/>
      <w:shd w:val="clear" w:fill="303030"/>
    </w:pPr>
  </w:style>
  <w:style w:type="character" w:customStyle="1" w:styleId="KeywordTok">
    <w:name w:val="KeywordTok"/>
    <w:basedOn w:val="VerbatimChar"/>
    <w:rPr>
      <w:color w:val="f0dfaf"/>
      <w:shd w:val="clear" w:fill="303030"/>
    </w:rPr>
  </w:style>
  <w:style w:type="character" w:customStyle="1" w:styleId="DataTypeTok">
    <w:name w:val="DataTypeTok"/>
    <w:basedOn w:val="VerbatimChar"/>
    <w:rPr>
      <w:color w:val="dfdfbf"/>
      <w:shd w:val="clear" w:fill="303030"/>
    </w:rPr>
  </w:style>
  <w:style w:type="character" w:customStyle="1" w:styleId="DecValTok">
    <w:name w:val="DecValTok"/>
    <w:basedOn w:val="VerbatimChar"/>
    <w:rPr>
      <w:color w:val="dcdccc"/>
      <w:shd w:val="clear" w:fill="303030"/>
    </w:rPr>
  </w:style>
  <w:style w:type="character" w:customStyle="1" w:styleId="BaseNTok">
    <w:name w:val="BaseNTok"/>
    <w:basedOn w:val="VerbatimChar"/>
    <w:rPr>
      <w:color w:val="dca3a3"/>
      <w:shd w:val="clear" w:fill="303030"/>
    </w:rPr>
  </w:style>
  <w:style w:type="character" w:customStyle="1" w:styleId="FloatTok">
    <w:name w:val="FloatTok"/>
    <w:basedOn w:val="VerbatimChar"/>
    <w:rPr>
      <w:color w:val="c0bed1"/>
      <w:shd w:val="clear" w:fill="303030"/>
    </w:rPr>
  </w:style>
  <w:style w:type="character" w:customStyle="1" w:styleId="ConstantTok">
    <w:name w:val="ConstantTok"/>
    <w:basedOn w:val="VerbatimChar"/>
    <w:rPr>
      <w:color w:val="dca3a3"/>
      <w:shd w:val="clear" w:fill="303030"/>
      <w:b/>
    </w:rPr>
  </w:style>
  <w:style w:type="character" w:customStyle="1" w:styleId="CharTok">
    <w:name w:val="CharTok"/>
    <w:basedOn w:val="VerbatimChar"/>
    <w:rPr>
      <w:color w:val="dca3a3"/>
      <w:shd w:val="clear" w:fill="303030"/>
    </w:rPr>
  </w:style>
  <w:style w:type="character" w:customStyle="1" w:styleId="SpecialCharTok">
    <w:name w:val="SpecialCharTok"/>
    <w:basedOn w:val="VerbatimChar"/>
    <w:rPr>
      <w:color w:val="dca3a3"/>
      <w:shd w:val="clear" w:fill="303030"/>
    </w:rPr>
  </w:style>
  <w:style w:type="character" w:customStyle="1" w:styleId="StringTok">
    <w:name w:val="StringTok"/>
    <w:basedOn w:val="VerbatimChar"/>
    <w:rPr>
      <w:color w:val="cc9393"/>
      <w:shd w:val="clear" w:fill="303030"/>
    </w:rPr>
  </w:style>
  <w:style w:type="character" w:customStyle="1" w:styleId="VerbatimStringTok">
    <w:name w:val="VerbatimStringTok"/>
    <w:basedOn w:val="VerbatimChar"/>
    <w:rPr>
      <w:color w:val="cc9393"/>
      <w:shd w:val="clear" w:fill="303030"/>
    </w:rPr>
  </w:style>
  <w:style w:type="character" w:customStyle="1" w:styleId="SpecialStringTok">
    <w:name w:val="SpecialStringTok"/>
    <w:basedOn w:val="VerbatimChar"/>
    <w:rPr>
      <w:color w:val="cc9393"/>
      <w:shd w:val="clear" w:fill="303030"/>
    </w:rPr>
  </w:style>
  <w:style w:type="character" w:customStyle="1" w:styleId="ImportTok">
    <w:name w:val="ImportTok"/>
    <w:basedOn w:val="VerbatimChar"/>
    <w:rPr>
      <w:color w:val="cccccc"/>
      <w:shd w:val="clear" w:fill="303030"/>
    </w:rPr>
  </w:style>
  <w:style w:type="character" w:customStyle="1" w:styleId="CommentTok">
    <w:name w:val="CommentTok"/>
    <w:basedOn w:val="VerbatimChar"/>
    <w:rPr>
      <w:color w:val="7f9f7f"/>
      <w:shd w:val="clear" w:fill="303030"/>
    </w:rPr>
  </w:style>
  <w:style w:type="character" w:customStyle="1" w:styleId="DocumentationTok">
    <w:name w:val="DocumentationTok"/>
    <w:basedOn w:val="VerbatimChar"/>
    <w:rPr>
      <w:color w:val="7f9f7f"/>
      <w:shd w:val="clear" w:fill="303030"/>
    </w:rPr>
  </w:style>
  <w:style w:type="character" w:customStyle="1" w:styleId="AnnotationTok">
    <w:name w:val="AnnotationTok"/>
    <w:basedOn w:val="VerbatimChar"/>
    <w:rPr>
      <w:color w:val="7f9f7f"/>
      <w:shd w:val="clear" w:fill="303030"/>
      <w:b/>
    </w:rPr>
  </w:style>
  <w:style w:type="character" w:customStyle="1" w:styleId="CommentVarTok">
    <w:name w:val="CommentVarTok"/>
    <w:basedOn w:val="VerbatimChar"/>
    <w:rPr>
      <w:color w:val="7f9f7f"/>
      <w:shd w:val="clear" w:fill="303030"/>
      <w:b/>
    </w:rPr>
  </w:style>
  <w:style w:type="character" w:customStyle="1" w:styleId="OtherTok">
    <w:name w:val="OtherTok"/>
    <w:basedOn w:val="VerbatimChar"/>
    <w:rPr>
      <w:color w:val="efef8f"/>
      <w:shd w:val="clear" w:fill="303030"/>
    </w:rPr>
  </w:style>
  <w:style w:type="character" w:customStyle="1" w:styleId="FunctionTok">
    <w:name w:val="FunctionTok"/>
    <w:basedOn w:val="VerbatimChar"/>
    <w:rPr>
      <w:color w:val="efef8f"/>
      <w:shd w:val="clear" w:fill="303030"/>
    </w:rPr>
  </w:style>
  <w:style w:type="character" w:customStyle="1" w:styleId="VariableTok">
    <w:name w:val="VariableTok"/>
    <w:basedOn w:val="VerbatimChar"/>
    <w:rPr>
      <w:color w:val="cccccc"/>
      <w:shd w:val="clear" w:fill="303030"/>
    </w:rPr>
  </w:style>
  <w:style w:type="character" w:customStyle="1" w:styleId="ControlFlowTok">
    <w:name w:val="ControlFlowTok"/>
    <w:basedOn w:val="VerbatimChar"/>
    <w:rPr>
      <w:color w:val="f0dfaf"/>
      <w:shd w:val="clear" w:fill="303030"/>
    </w:rPr>
  </w:style>
  <w:style w:type="character" w:customStyle="1" w:styleId="OperatorTok">
    <w:name w:val="OperatorTok"/>
    <w:basedOn w:val="VerbatimChar"/>
    <w:rPr>
      <w:color w:val="f0efd0"/>
      <w:shd w:val="clear" w:fill="303030"/>
    </w:rPr>
  </w:style>
  <w:style w:type="character" w:customStyle="1" w:styleId="BuiltInTok">
    <w:name w:val="BuiltInTok"/>
    <w:basedOn w:val="VerbatimChar"/>
    <w:rPr>
      <w:color w:val="cccccc"/>
      <w:shd w:val="clear" w:fill="303030"/>
    </w:rPr>
  </w:style>
  <w:style w:type="character" w:customStyle="1" w:styleId="ExtensionTok">
    <w:name w:val="ExtensionTok"/>
    <w:basedOn w:val="VerbatimChar"/>
    <w:rPr>
      <w:color w:val="cccccc"/>
      <w:shd w:val="clear" w:fill="303030"/>
    </w:rPr>
  </w:style>
  <w:style w:type="character" w:customStyle="1" w:styleId="PreprocessorTok">
    <w:name w:val="PreprocessorTok"/>
    <w:basedOn w:val="VerbatimChar"/>
    <w:rPr>
      <w:color w:val="ffcfaf"/>
      <w:shd w:val="clear" w:fill="303030"/>
      <w:b/>
    </w:rPr>
  </w:style>
  <w:style w:type="character" w:customStyle="1" w:styleId="AttributeTok">
    <w:name w:val="AttributeTok"/>
    <w:basedOn w:val="VerbatimChar"/>
    <w:rPr>
      <w:color w:val="cccccc"/>
      <w:shd w:val="clear" w:fill="303030"/>
    </w:rPr>
  </w:style>
  <w:style w:type="character" w:customStyle="1" w:styleId="RegionMarkerTok">
    <w:name w:val="RegionMarkerTok"/>
    <w:basedOn w:val="VerbatimChar"/>
    <w:rPr>
      <w:color w:val="cccccc"/>
      <w:shd w:val="clear" w:fill="303030"/>
    </w:rPr>
  </w:style>
  <w:style w:type="character" w:customStyle="1" w:styleId="InformationTok">
    <w:name w:val="InformationTok"/>
    <w:basedOn w:val="VerbatimChar"/>
    <w:rPr>
      <w:color w:val="7f9f7f"/>
      <w:shd w:val="clear" w:fill="303030"/>
      <w:b/>
    </w:rPr>
  </w:style>
  <w:style w:type="character" w:customStyle="1" w:styleId="WarningTok">
    <w:name w:val="WarningTok"/>
    <w:basedOn w:val="VerbatimChar"/>
    <w:rPr>
      <w:color w:val="7f9f7f"/>
      <w:shd w:val="clear" w:fill="303030"/>
      <w:b/>
    </w:rPr>
  </w:style>
  <w:style w:type="character" w:customStyle="1" w:styleId="AlertTok">
    <w:name w:val="AlertTok"/>
    <w:basedOn w:val="VerbatimChar"/>
    <w:rPr>
      <w:color w:val="ffcfaf"/>
      <w:shd w:val="clear" w:fill="303030"/>
    </w:rPr>
  </w:style>
  <w:style w:type="character" w:customStyle="1" w:styleId="ErrorTok">
    <w:name w:val="ErrorTok"/>
    <w:basedOn w:val="VerbatimChar"/>
    <w:rPr>
      <w:color w:val="c3bf9f"/>
      <w:shd w:val="clear" w:fill="303030"/>
    </w:rPr>
  </w:style>
  <w:style w:type="character" w:customStyle="1" w:styleId="NormalTok">
    <w:name w:val="NormalTok"/>
    <w:basedOn w:val="VerbatimChar"/>
    <w:rPr>
      <w:color w:val="cccccc"/>
      <w:shd w:val="clear" w:fill="3030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83886">
      <w:bodyDiv w:val="1"/>
      <w:marLeft w:val="0"/>
      <w:marRight w:val="0"/>
      <w:marTop w:val="0"/>
      <w:marBottom w:val="0"/>
      <w:divBdr>
        <w:top w:val="none" w:sz="0" w:space="0" w:color="auto"/>
        <w:left w:val="none" w:sz="0" w:space="0" w:color="auto"/>
        <w:bottom w:val="none" w:sz="0" w:space="0" w:color="auto"/>
        <w:right w:val="none" w:sz="0" w:space="0" w:color="auto"/>
      </w:divBdr>
    </w:div>
    <w:div w:id="31269409">
      <w:bodyDiv w:val="1"/>
      <w:marLeft w:val="0"/>
      <w:marRight w:val="0"/>
      <w:marTop w:val="0"/>
      <w:marBottom w:val="0"/>
      <w:divBdr>
        <w:top w:val="none" w:sz="0" w:space="0" w:color="auto"/>
        <w:left w:val="none" w:sz="0" w:space="0" w:color="auto"/>
        <w:bottom w:val="none" w:sz="0" w:space="0" w:color="auto"/>
        <w:right w:val="none" w:sz="0" w:space="0" w:color="auto"/>
      </w:divBdr>
    </w:div>
    <w:div w:id="78261308">
      <w:bodyDiv w:val="1"/>
      <w:marLeft w:val="0"/>
      <w:marRight w:val="0"/>
      <w:marTop w:val="0"/>
      <w:marBottom w:val="0"/>
      <w:divBdr>
        <w:top w:val="none" w:sz="0" w:space="0" w:color="auto"/>
        <w:left w:val="none" w:sz="0" w:space="0" w:color="auto"/>
        <w:bottom w:val="none" w:sz="0" w:space="0" w:color="auto"/>
        <w:right w:val="none" w:sz="0" w:space="0" w:color="auto"/>
      </w:divBdr>
    </w:div>
    <w:div w:id="101463245">
      <w:bodyDiv w:val="1"/>
      <w:marLeft w:val="0"/>
      <w:marRight w:val="0"/>
      <w:marTop w:val="0"/>
      <w:marBottom w:val="0"/>
      <w:divBdr>
        <w:top w:val="none" w:sz="0" w:space="0" w:color="auto"/>
        <w:left w:val="none" w:sz="0" w:space="0" w:color="auto"/>
        <w:bottom w:val="none" w:sz="0" w:space="0" w:color="auto"/>
        <w:right w:val="none" w:sz="0" w:space="0" w:color="auto"/>
      </w:divBdr>
    </w:div>
    <w:div w:id="115955335">
      <w:bodyDiv w:val="1"/>
      <w:marLeft w:val="0"/>
      <w:marRight w:val="0"/>
      <w:marTop w:val="0"/>
      <w:marBottom w:val="0"/>
      <w:divBdr>
        <w:top w:val="none" w:sz="0" w:space="0" w:color="auto"/>
        <w:left w:val="none" w:sz="0" w:space="0" w:color="auto"/>
        <w:bottom w:val="none" w:sz="0" w:space="0" w:color="auto"/>
        <w:right w:val="none" w:sz="0" w:space="0" w:color="auto"/>
      </w:divBdr>
    </w:div>
    <w:div w:id="130827339">
      <w:bodyDiv w:val="1"/>
      <w:marLeft w:val="0"/>
      <w:marRight w:val="0"/>
      <w:marTop w:val="0"/>
      <w:marBottom w:val="0"/>
      <w:divBdr>
        <w:top w:val="none" w:sz="0" w:space="0" w:color="auto"/>
        <w:left w:val="none" w:sz="0" w:space="0" w:color="auto"/>
        <w:bottom w:val="none" w:sz="0" w:space="0" w:color="auto"/>
        <w:right w:val="none" w:sz="0" w:space="0" w:color="auto"/>
      </w:divBdr>
    </w:div>
    <w:div w:id="149905054">
      <w:bodyDiv w:val="1"/>
      <w:marLeft w:val="0"/>
      <w:marRight w:val="0"/>
      <w:marTop w:val="0"/>
      <w:marBottom w:val="0"/>
      <w:divBdr>
        <w:top w:val="none" w:sz="0" w:space="0" w:color="auto"/>
        <w:left w:val="none" w:sz="0" w:space="0" w:color="auto"/>
        <w:bottom w:val="none" w:sz="0" w:space="0" w:color="auto"/>
        <w:right w:val="none" w:sz="0" w:space="0" w:color="auto"/>
      </w:divBdr>
    </w:div>
    <w:div w:id="172454456">
      <w:bodyDiv w:val="1"/>
      <w:marLeft w:val="0"/>
      <w:marRight w:val="0"/>
      <w:marTop w:val="0"/>
      <w:marBottom w:val="0"/>
      <w:divBdr>
        <w:top w:val="none" w:sz="0" w:space="0" w:color="auto"/>
        <w:left w:val="none" w:sz="0" w:space="0" w:color="auto"/>
        <w:bottom w:val="none" w:sz="0" w:space="0" w:color="auto"/>
        <w:right w:val="none" w:sz="0" w:space="0" w:color="auto"/>
      </w:divBdr>
    </w:div>
    <w:div w:id="173808883">
      <w:bodyDiv w:val="1"/>
      <w:marLeft w:val="0"/>
      <w:marRight w:val="0"/>
      <w:marTop w:val="0"/>
      <w:marBottom w:val="0"/>
      <w:divBdr>
        <w:top w:val="none" w:sz="0" w:space="0" w:color="auto"/>
        <w:left w:val="none" w:sz="0" w:space="0" w:color="auto"/>
        <w:bottom w:val="none" w:sz="0" w:space="0" w:color="auto"/>
        <w:right w:val="none" w:sz="0" w:space="0" w:color="auto"/>
      </w:divBdr>
    </w:div>
    <w:div w:id="252248653">
      <w:bodyDiv w:val="1"/>
      <w:marLeft w:val="0"/>
      <w:marRight w:val="0"/>
      <w:marTop w:val="0"/>
      <w:marBottom w:val="0"/>
      <w:divBdr>
        <w:top w:val="none" w:sz="0" w:space="0" w:color="auto"/>
        <w:left w:val="none" w:sz="0" w:space="0" w:color="auto"/>
        <w:bottom w:val="none" w:sz="0" w:space="0" w:color="auto"/>
        <w:right w:val="none" w:sz="0" w:space="0" w:color="auto"/>
      </w:divBdr>
    </w:div>
    <w:div w:id="395325681">
      <w:bodyDiv w:val="1"/>
      <w:marLeft w:val="0"/>
      <w:marRight w:val="0"/>
      <w:marTop w:val="0"/>
      <w:marBottom w:val="0"/>
      <w:divBdr>
        <w:top w:val="none" w:sz="0" w:space="0" w:color="auto"/>
        <w:left w:val="none" w:sz="0" w:space="0" w:color="auto"/>
        <w:bottom w:val="none" w:sz="0" w:space="0" w:color="auto"/>
        <w:right w:val="none" w:sz="0" w:space="0" w:color="auto"/>
      </w:divBdr>
    </w:div>
    <w:div w:id="397747665">
      <w:bodyDiv w:val="1"/>
      <w:marLeft w:val="0"/>
      <w:marRight w:val="0"/>
      <w:marTop w:val="0"/>
      <w:marBottom w:val="0"/>
      <w:divBdr>
        <w:top w:val="none" w:sz="0" w:space="0" w:color="auto"/>
        <w:left w:val="none" w:sz="0" w:space="0" w:color="auto"/>
        <w:bottom w:val="none" w:sz="0" w:space="0" w:color="auto"/>
        <w:right w:val="none" w:sz="0" w:space="0" w:color="auto"/>
      </w:divBdr>
    </w:div>
    <w:div w:id="432170897">
      <w:bodyDiv w:val="1"/>
      <w:marLeft w:val="0"/>
      <w:marRight w:val="0"/>
      <w:marTop w:val="0"/>
      <w:marBottom w:val="0"/>
      <w:divBdr>
        <w:top w:val="none" w:sz="0" w:space="0" w:color="auto"/>
        <w:left w:val="none" w:sz="0" w:space="0" w:color="auto"/>
        <w:bottom w:val="none" w:sz="0" w:space="0" w:color="auto"/>
        <w:right w:val="none" w:sz="0" w:space="0" w:color="auto"/>
      </w:divBdr>
    </w:div>
    <w:div w:id="442268818">
      <w:bodyDiv w:val="1"/>
      <w:marLeft w:val="0"/>
      <w:marRight w:val="0"/>
      <w:marTop w:val="0"/>
      <w:marBottom w:val="0"/>
      <w:divBdr>
        <w:top w:val="none" w:sz="0" w:space="0" w:color="auto"/>
        <w:left w:val="none" w:sz="0" w:space="0" w:color="auto"/>
        <w:bottom w:val="none" w:sz="0" w:space="0" w:color="auto"/>
        <w:right w:val="none" w:sz="0" w:space="0" w:color="auto"/>
      </w:divBdr>
    </w:div>
    <w:div w:id="466750183">
      <w:bodyDiv w:val="1"/>
      <w:marLeft w:val="0"/>
      <w:marRight w:val="0"/>
      <w:marTop w:val="0"/>
      <w:marBottom w:val="0"/>
      <w:divBdr>
        <w:top w:val="none" w:sz="0" w:space="0" w:color="auto"/>
        <w:left w:val="none" w:sz="0" w:space="0" w:color="auto"/>
        <w:bottom w:val="none" w:sz="0" w:space="0" w:color="auto"/>
        <w:right w:val="none" w:sz="0" w:space="0" w:color="auto"/>
      </w:divBdr>
    </w:div>
    <w:div w:id="543835469">
      <w:bodyDiv w:val="1"/>
      <w:marLeft w:val="0"/>
      <w:marRight w:val="0"/>
      <w:marTop w:val="0"/>
      <w:marBottom w:val="0"/>
      <w:divBdr>
        <w:top w:val="none" w:sz="0" w:space="0" w:color="auto"/>
        <w:left w:val="none" w:sz="0" w:space="0" w:color="auto"/>
        <w:bottom w:val="none" w:sz="0" w:space="0" w:color="auto"/>
        <w:right w:val="none" w:sz="0" w:space="0" w:color="auto"/>
      </w:divBdr>
    </w:div>
    <w:div w:id="667486494">
      <w:bodyDiv w:val="1"/>
      <w:marLeft w:val="0"/>
      <w:marRight w:val="0"/>
      <w:marTop w:val="0"/>
      <w:marBottom w:val="0"/>
      <w:divBdr>
        <w:top w:val="none" w:sz="0" w:space="0" w:color="auto"/>
        <w:left w:val="none" w:sz="0" w:space="0" w:color="auto"/>
        <w:bottom w:val="none" w:sz="0" w:space="0" w:color="auto"/>
        <w:right w:val="none" w:sz="0" w:space="0" w:color="auto"/>
      </w:divBdr>
    </w:div>
    <w:div w:id="675765494">
      <w:bodyDiv w:val="1"/>
      <w:marLeft w:val="0"/>
      <w:marRight w:val="0"/>
      <w:marTop w:val="0"/>
      <w:marBottom w:val="0"/>
      <w:divBdr>
        <w:top w:val="none" w:sz="0" w:space="0" w:color="auto"/>
        <w:left w:val="none" w:sz="0" w:space="0" w:color="auto"/>
        <w:bottom w:val="none" w:sz="0" w:space="0" w:color="auto"/>
        <w:right w:val="none" w:sz="0" w:space="0" w:color="auto"/>
      </w:divBdr>
    </w:div>
    <w:div w:id="767627967">
      <w:bodyDiv w:val="1"/>
      <w:marLeft w:val="0"/>
      <w:marRight w:val="0"/>
      <w:marTop w:val="0"/>
      <w:marBottom w:val="0"/>
      <w:divBdr>
        <w:top w:val="none" w:sz="0" w:space="0" w:color="auto"/>
        <w:left w:val="none" w:sz="0" w:space="0" w:color="auto"/>
        <w:bottom w:val="none" w:sz="0" w:space="0" w:color="auto"/>
        <w:right w:val="none" w:sz="0" w:space="0" w:color="auto"/>
      </w:divBdr>
    </w:div>
    <w:div w:id="769203515">
      <w:bodyDiv w:val="1"/>
      <w:marLeft w:val="0"/>
      <w:marRight w:val="0"/>
      <w:marTop w:val="0"/>
      <w:marBottom w:val="0"/>
      <w:divBdr>
        <w:top w:val="none" w:sz="0" w:space="0" w:color="auto"/>
        <w:left w:val="none" w:sz="0" w:space="0" w:color="auto"/>
        <w:bottom w:val="none" w:sz="0" w:space="0" w:color="auto"/>
        <w:right w:val="none" w:sz="0" w:space="0" w:color="auto"/>
      </w:divBdr>
    </w:div>
    <w:div w:id="855078470">
      <w:bodyDiv w:val="1"/>
      <w:marLeft w:val="0"/>
      <w:marRight w:val="0"/>
      <w:marTop w:val="0"/>
      <w:marBottom w:val="0"/>
      <w:divBdr>
        <w:top w:val="none" w:sz="0" w:space="0" w:color="auto"/>
        <w:left w:val="none" w:sz="0" w:space="0" w:color="auto"/>
        <w:bottom w:val="none" w:sz="0" w:space="0" w:color="auto"/>
        <w:right w:val="none" w:sz="0" w:space="0" w:color="auto"/>
      </w:divBdr>
    </w:div>
    <w:div w:id="868760486">
      <w:bodyDiv w:val="1"/>
      <w:marLeft w:val="0"/>
      <w:marRight w:val="0"/>
      <w:marTop w:val="0"/>
      <w:marBottom w:val="0"/>
      <w:divBdr>
        <w:top w:val="none" w:sz="0" w:space="0" w:color="auto"/>
        <w:left w:val="none" w:sz="0" w:space="0" w:color="auto"/>
        <w:bottom w:val="none" w:sz="0" w:space="0" w:color="auto"/>
        <w:right w:val="none" w:sz="0" w:space="0" w:color="auto"/>
      </w:divBdr>
    </w:div>
    <w:div w:id="882642349">
      <w:bodyDiv w:val="1"/>
      <w:marLeft w:val="0"/>
      <w:marRight w:val="0"/>
      <w:marTop w:val="0"/>
      <w:marBottom w:val="0"/>
      <w:divBdr>
        <w:top w:val="none" w:sz="0" w:space="0" w:color="auto"/>
        <w:left w:val="none" w:sz="0" w:space="0" w:color="auto"/>
        <w:bottom w:val="none" w:sz="0" w:space="0" w:color="auto"/>
        <w:right w:val="none" w:sz="0" w:space="0" w:color="auto"/>
      </w:divBdr>
    </w:div>
    <w:div w:id="990206960">
      <w:bodyDiv w:val="1"/>
      <w:marLeft w:val="0"/>
      <w:marRight w:val="0"/>
      <w:marTop w:val="0"/>
      <w:marBottom w:val="0"/>
      <w:divBdr>
        <w:top w:val="none" w:sz="0" w:space="0" w:color="auto"/>
        <w:left w:val="none" w:sz="0" w:space="0" w:color="auto"/>
        <w:bottom w:val="none" w:sz="0" w:space="0" w:color="auto"/>
        <w:right w:val="none" w:sz="0" w:space="0" w:color="auto"/>
      </w:divBdr>
    </w:div>
    <w:div w:id="1051004555">
      <w:bodyDiv w:val="1"/>
      <w:marLeft w:val="0"/>
      <w:marRight w:val="0"/>
      <w:marTop w:val="0"/>
      <w:marBottom w:val="0"/>
      <w:divBdr>
        <w:top w:val="none" w:sz="0" w:space="0" w:color="auto"/>
        <w:left w:val="none" w:sz="0" w:space="0" w:color="auto"/>
        <w:bottom w:val="none" w:sz="0" w:space="0" w:color="auto"/>
        <w:right w:val="none" w:sz="0" w:space="0" w:color="auto"/>
      </w:divBdr>
    </w:div>
    <w:div w:id="1081954155">
      <w:bodyDiv w:val="1"/>
      <w:marLeft w:val="0"/>
      <w:marRight w:val="0"/>
      <w:marTop w:val="0"/>
      <w:marBottom w:val="0"/>
      <w:divBdr>
        <w:top w:val="none" w:sz="0" w:space="0" w:color="auto"/>
        <w:left w:val="none" w:sz="0" w:space="0" w:color="auto"/>
        <w:bottom w:val="none" w:sz="0" w:space="0" w:color="auto"/>
        <w:right w:val="none" w:sz="0" w:space="0" w:color="auto"/>
      </w:divBdr>
    </w:div>
    <w:div w:id="1088117548">
      <w:bodyDiv w:val="1"/>
      <w:marLeft w:val="0"/>
      <w:marRight w:val="0"/>
      <w:marTop w:val="0"/>
      <w:marBottom w:val="0"/>
      <w:divBdr>
        <w:top w:val="none" w:sz="0" w:space="0" w:color="auto"/>
        <w:left w:val="none" w:sz="0" w:space="0" w:color="auto"/>
        <w:bottom w:val="none" w:sz="0" w:space="0" w:color="auto"/>
        <w:right w:val="none" w:sz="0" w:space="0" w:color="auto"/>
      </w:divBdr>
    </w:div>
    <w:div w:id="1104155747">
      <w:bodyDiv w:val="1"/>
      <w:marLeft w:val="0"/>
      <w:marRight w:val="0"/>
      <w:marTop w:val="0"/>
      <w:marBottom w:val="0"/>
      <w:divBdr>
        <w:top w:val="none" w:sz="0" w:space="0" w:color="auto"/>
        <w:left w:val="none" w:sz="0" w:space="0" w:color="auto"/>
        <w:bottom w:val="none" w:sz="0" w:space="0" w:color="auto"/>
        <w:right w:val="none" w:sz="0" w:space="0" w:color="auto"/>
      </w:divBdr>
    </w:div>
    <w:div w:id="1133402621">
      <w:bodyDiv w:val="1"/>
      <w:marLeft w:val="0"/>
      <w:marRight w:val="0"/>
      <w:marTop w:val="0"/>
      <w:marBottom w:val="0"/>
      <w:divBdr>
        <w:top w:val="none" w:sz="0" w:space="0" w:color="auto"/>
        <w:left w:val="none" w:sz="0" w:space="0" w:color="auto"/>
        <w:bottom w:val="none" w:sz="0" w:space="0" w:color="auto"/>
        <w:right w:val="none" w:sz="0" w:space="0" w:color="auto"/>
      </w:divBdr>
    </w:div>
    <w:div w:id="1167212782">
      <w:bodyDiv w:val="1"/>
      <w:marLeft w:val="0"/>
      <w:marRight w:val="0"/>
      <w:marTop w:val="0"/>
      <w:marBottom w:val="0"/>
      <w:divBdr>
        <w:top w:val="none" w:sz="0" w:space="0" w:color="auto"/>
        <w:left w:val="none" w:sz="0" w:space="0" w:color="auto"/>
        <w:bottom w:val="none" w:sz="0" w:space="0" w:color="auto"/>
        <w:right w:val="none" w:sz="0" w:space="0" w:color="auto"/>
      </w:divBdr>
    </w:div>
    <w:div w:id="1167329341">
      <w:bodyDiv w:val="1"/>
      <w:marLeft w:val="0"/>
      <w:marRight w:val="0"/>
      <w:marTop w:val="0"/>
      <w:marBottom w:val="0"/>
      <w:divBdr>
        <w:top w:val="none" w:sz="0" w:space="0" w:color="auto"/>
        <w:left w:val="none" w:sz="0" w:space="0" w:color="auto"/>
        <w:bottom w:val="none" w:sz="0" w:space="0" w:color="auto"/>
        <w:right w:val="none" w:sz="0" w:space="0" w:color="auto"/>
      </w:divBdr>
    </w:div>
    <w:div w:id="1296373632">
      <w:bodyDiv w:val="1"/>
      <w:marLeft w:val="0"/>
      <w:marRight w:val="0"/>
      <w:marTop w:val="0"/>
      <w:marBottom w:val="0"/>
      <w:divBdr>
        <w:top w:val="none" w:sz="0" w:space="0" w:color="auto"/>
        <w:left w:val="none" w:sz="0" w:space="0" w:color="auto"/>
        <w:bottom w:val="none" w:sz="0" w:space="0" w:color="auto"/>
        <w:right w:val="none" w:sz="0" w:space="0" w:color="auto"/>
      </w:divBdr>
    </w:div>
    <w:div w:id="1360161751">
      <w:bodyDiv w:val="1"/>
      <w:marLeft w:val="0"/>
      <w:marRight w:val="0"/>
      <w:marTop w:val="0"/>
      <w:marBottom w:val="0"/>
      <w:divBdr>
        <w:top w:val="none" w:sz="0" w:space="0" w:color="auto"/>
        <w:left w:val="none" w:sz="0" w:space="0" w:color="auto"/>
        <w:bottom w:val="none" w:sz="0" w:space="0" w:color="auto"/>
        <w:right w:val="none" w:sz="0" w:space="0" w:color="auto"/>
      </w:divBdr>
    </w:div>
    <w:div w:id="1387334009">
      <w:bodyDiv w:val="1"/>
      <w:marLeft w:val="0"/>
      <w:marRight w:val="0"/>
      <w:marTop w:val="0"/>
      <w:marBottom w:val="0"/>
      <w:divBdr>
        <w:top w:val="none" w:sz="0" w:space="0" w:color="auto"/>
        <w:left w:val="none" w:sz="0" w:space="0" w:color="auto"/>
        <w:bottom w:val="none" w:sz="0" w:space="0" w:color="auto"/>
        <w:right w:val="none" w:sz="0" w:space="0" w:color="auto"/>
      </w:divBdr>
    </w:div>
    <w:div w:id="1412509332">
      <w:bodyDiv w:val="1"/>
      <w:marLeft w:val="0"/>
      <w:marRight w:val="0"/>
      <w:marTop w:val="0"/>
      <w:marBottom w:val="0"/>
      <w:divBdr>
        <w:top w:val="none" w:sz="0" w:space="0" w:color="auto"/>
        <w:left w:val="none" w:sz="0" w:space="0" w:color="auto"/>
        <w:bottom w:val="none" w:sz="0" w:space="0" w:color="auto"/>
        <w:right w:val="none" w:sz="0" w:space="0" w:color="auto"/>
      </w:divBdr>
    </w:div>
    <w:div w:id="1429347251">
      <w:bodyDiv w:val="1"/>
      <w:marLeft w:val="0"/>
      <w:marRight w:val="0"/>
      <w:marTop w:val="0"/>
      <w:marBottom w:val="0"/>
      <w:divBdr>
        <w:top w:val="none" w:sz="0" w:space="0" w:color="auto"/>
        <w:left w:val="none" w:sz="0" w:space="0" w:color="auto"/>
        <w:bottom w:val="none" w:sz="0" w:space="0" w:color="auto"/>
        <w:right w:val="none" w:sz="0" w:space="0" w:color="auto"/>
      </w:divBdr>
    </w:div>
    <w:div w:id="1444619336">
      <w:bodyDiv w:val="1"/>
      <w:marLeft w:val="0"/>
      <w:marRight w:val="0"/>
      <w:marTop w:val="0"/>
      <w:marBottom w:val="0"/>
      <w:divBdr>
        <w:top w:val="none" w:sz="0" w:space="0" w:color="auto"/>
        <w:left w:val="none" w:sz="0" w:space="0" w:color="auto"/>
        <w:bottom w:val="none" w:sz="0" w:space="0" w:color="auto"/>
        <w:right w:val="none" w:sz="0" w:space="0" w:color="auto"/>
      </w:divBdr>
    </w:div>
    <w:div w:id="1461222804">
      <w:bodyDiv w:val="1"/>
      <w:marLeft w:val="0"/>
      <w:marRight w:val="0"/>
      <w:marTop w:val="0"/>
      <w:marBottom w:val="0"/>
      <w:divBdr>
        <w:top w:val="none" w:sz="0" w:space="0" w:color="auto"/>
        <w:left w:val="none" w:sz="0" w:space="0" w:color="auto"/>
        <w:bottom w:val="none" w:sz="0" w:space="0" w:color="auto"/>
        <w:right w:val="none" w:sz="0" w:space="0" w:color="auto"/>
      </w:divBdr>
    </w:div>
    <w:div w:id="1496264621">
      <w:bodyDiv w:val="1"/>
      <w:marLeft w:val="0"/>
      <w:marRight w:val="0"/>
      <w:marTop w:val="0"/>
      <w:marBottom w:val="0"/>
      <w:divBdr>
        <w:top w:val="none" w:sz="0" w:space="0" w:color="auto"/>
        <w:left w:val="none" w:sz="0" w:space="0" w:color="auto"/>
        <w:bottom w:val="none" w:sz="0" w:space="0" w:color="auto"/>
        <w:right w:val="none" w:sz="0" w:space="0" w:color="auto"/>
      </w:divBdr>
    </w:div>
    <w:div w:id="1593582515">
      <w:bodyDiv w:val="1"/>
      <w:marLeft w:val="0"/>
      <w:marRight w:val="0"/>
      <w:marTop w:val="0"/>
      <w:marBottom w:val="0"/>
      <w:divBdr>
        <w:top w:val="none" w:sz="0" w:space="0" w:color="auto"/>
        <w:left w:val="none" w:sz="0" w:space="0" w:color="auto"/>
        <w:bottom w:val="none" w:sz="0" w:space="0" w:color="auto"/>
        <w:right w:val="none" w:sz="0" w:space="0" w:color="auto"/>
      </w:divBdr>
    </w:div>
    <w:div w:id="1636182504">
      <w:bodyDiv w:val="1"/>
      <w:marLeft w:val="0"/>
      <w:marRight w:val="0"/>
      <w:marTop w:val="0"/>
      <w:marBottom w:val="0"/>
      <w:divBdr>
        <w:top w:val="none" w:sz="0" w:space="0" w:color="auto"/>
        <w:left w:val="none" w:sz="0" w:space="0" w:color="auto"/>
        <w:bottom w:val="none" w:sz="0" w:space="0" w:color="auto"/>
        <w:right w:val="none" w:sz="0" w:space="0" w:color="auto"/>
      </w:divBdr>
    </w:div>
    <w:div w:id="1683164023">
      <w:bodyDiv w:val="1"/>
      <w:marLeft w:val="0"/>
      <w:marRight w:val="0"/>
      <w:marTop w:val="0"/>
      <w:marBottom w:val="0"/>
      <w:divBdr>
        <w:top w:val="none" w:sz="0" w:space="0" w:color="auto"/>
        <w:left w:val="none" w:sz="0" w:space="0" w:color="auto"/>
        <w:bottom w:val="none" w:sz="0" w:space="0" w:color="auto"/>
        <w:right w:val="none" w:sz="0" w:space="0" w:color="auto"/>
      </w:divBdr>
    </w:div>
    <w:div w:id="1683631038">
      <w:bodyDiv w:val="1"/>
      <w:marLeft w:val="0"/>
      <w:marRight w:val="0"/>
      <w:marTop w:val="0"/>
      <w:marBottom w:val="0"/>
      <w:divBdr>
        <w:top w:val="none" w:sz="0" w:space="0" w:color="auto"/>
        <w:left w:val="none" w:sz="0" w:space="0" w:color="auto"/>
        <w:bottom w:val="none" w:sz="0" w:space="0" w:color="auto"/>
        <w:right w:val="none" w:sz="0" w:space="0" w:color="auto"/>
      </w:divBdr>
    </w:div>
    <w:div w:id="1706176930">
      <w:bodyDiv w:val="1"/>
      <w:marLeft w:val="0"/>
      <w:marRight w:val="0"/>
      <w:marTop w:val="0"/>
      <w:marBottom w:val="0"/>
      <w:divBdr>
        <w:top w:val="none" w:sz="0" w:space="0" w:color="auto"/>
        <w:left w:val="none" w:sz="0" w:space="0" w:color="auto"/>
        <w:bottom w:val="none" w:sz="0" w:space="0" w:color="auto"/>
        <w:right w:val="none" w:sz="0" w:space="0" w:color="auto"/>
      </w:divBdr>
    </w:div>
    <w:div w:id="1735659084">
      <w:bodyDiv w:val="1"/>
      <w:marLeft w:val="0"/>
      <w:marRight w:val="0"/>
      <w:marTop w:val="0"/>
      <w:marBottom w:val="0"/>
      <w:divBdr>
        <w:top w:val="none" w:sz="0" w:space="0" w:color="auto"/>
        <w:left w:val="none" w:sz="0" w:space="0" w:color="auto"/>
        <w:bottom w:val="none" w:sz="0" w:space="0" w:color="auto"/>
        <w:right w:val="none" w:sz="0" w:space="0" w:color="auto"/>
      </w:divBdr>
    </w:div>
    <w:div w:id="1741053801">
      <w:bodyDiv w:val="1"/>
      <w:marLeft w:val="0"/>
      <w:marRight w:val="0"/>
      <w:marTop w:val="0"/>
      <w:marBottom w:val="0"/>
      <w:divBdr>
        <w:top w:val="none" w:sz="0" w:space="0" w:color="auto"/>
        <w:left w:val="none" w:sz="0" w:space="0" w:color="auto"/>
        <w:bottom w:val="none" w:sz="0" w:space="0" w:color="auto"/>
        <w:right w:val="none" w:sz="0" w:space="0" w:color="auto"/>
      </w:divBdr>
    </w:div>
    <w:div w:id="1818649020">
      <w:bodyDiv w:val="1"/>
      <w:marLeft w:val="0"/>
      <w:marRight w:val="0"/>
      <w:marTop w:val="0"/>
      <w:marBottom w:val="0"/>
      <w:divBdr>
        <w:top w:val="none" w:sz="0" w:space="0" w:color="auto"/>
        <w:left w:val="none" w:sz="0" w:space="0" w:color="auto"/>
        <w:bottom w:val="none" w:sz="0" w:space="0" w:color="auto"/>
        <w:right w:val="none" w:sz="0" w:space="0" w:color="auto"/>
      </w:divBdr>
    </w:div>
    <w:div w:id="1916746020">
      <w:bodyDiv w:val="1"/>
      <w:marLeft w:val="0"/>
      <w:marRight w:val="0"/>
      <w:marTop w:val="0"/>
      <w:marBottom w:val="0"/>
      <w:divBdr>
        <w:top w:val="none" w:sz="0" w:space="0" w:color="auto"/>
        <w:left w:val="none" w:sz="0" w:space="0" w:color="auto"/>
        <w:bottom w:val="none" w:sz="0" w:space="0" w:color="auto"/>
        <w:right w:val="none" w:sz="0" w:space="0" w:color="auto"/>
      </w:divBdr>
    </w:div>
    <w:div w:id="1925261774">
      <w:bodyDiv w:val="1"/>
      <w:marLeft w:val="0"/>
      <w:marRight w:val="0"/>
      <w:marTop w:val="0"/>
      <w:marBottom w:val="0"/>
      <w:divBdr>
        <w:top w:val="none" w:sz="0" w:space="0" w:color="auto"/>
        <w:left w:val="none" w:sz="0" w:space="0" w:color="auto"/>
        <w:bottom w:val="none" w:sz="0" w:space="0" w:color="auto"/>
        <w:right w:val="none" w:sz="0" w:space="0" w:color="auto"/>
      </w:divBdr>
    </w:div>
    <w:div w:id="1931498308">
      <w:bodyDiv w:val="1"/>
      <w:marLeft w:val="0"/>
      <w:marRight w:val="0"/>
      <w:marTop w:val="0"/>
      <w:marBottom w:val="0"/>
      <w:divBdr>
        <w:top w:val="none" w:sz="0" w:space="0" w:color="auto"/>
        <w:left w:val="none" w:sz="0" w:space="0" w:color="auto"/>
        <w:bottom w:val="none" w:sz="0" w:space="0" w:color="auto"/>
        <w:right w:val="none" w:sz="0" w:space="0" w:color="auto"/>
      </w:divBdr>
    </w:div>
    <w:div w:id="1987126949">
      <w:bodyDiv w:val="1"/>
      <w:marLeft w:val="0"/>
      <w:marRight w:val="0"/>
      <w:marTop w:val="0"/>
      <w:marBottom w:val="0"/>
      <w:divBdr>
        <w:top w:val="none" w:sz="0" w:space="0" w:color="auto"/>
        <w:left w:val="none" w:sz="0" w:space="0" w:color="auto"/>
        <w:bottom w:val="none" w:sz="0" w:space="0" w:color="auto"/>
        <w:right w:val="none" w:sz="0" w:space="0" w:color="auto"/>
      </w:divBdr>
    </w:div>
    <w:div w:id="2043749588">
      <w:bodyDiv w:val="1"/>
      <w:marLeft w:val="0"/>
      <w:marRight w:val="0"/>
      <w:marTop w:val="0"/>
      <w:marBottom w:val="0"/>
      <w:divBdr>
        <w:top w:val="none" w:sz="0" w:space="0" w:color="auto"/>
        <w:left w:val="none" w:sz="0" w:space="0" w:color="auto"/>
        <w:bottom w:val="none" w:sz="0" w:space="0" w:color="auto"/>
        <w:right w:val="none" w:sz="0" w:space="0" w:color="auto"/>
      </w:divBdr>
    </w:div>
    <w:div w:id="2051607784">
      <w:bodyDiv w:val="1"/>
      <w:marLeft w:val="0"/>
      <w:marRight w:val="0"/>
      <w:marTop w:val="0"/>
      <w:marBottom w:val="0"/>
      <w:divBdr>
        <w:top w:val="none" w:sz="0" w:space="0" w:color="auto"/>
        <w:left w:val="none" w:sz="0" w:space="0" w:color="auto"/>
        <w:bottom w:val="none" w:sz="0" w:space="0" w:color="auto"/>
        <w:right w:val="none" w:sz="0" w:space="0" w:color="auto"/>
      </w:divBdr>
    </w:div>
    <w:div w:id="2136093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4.xml" /><Relationship Id="rId10" Type="http://schemas.openxmlformats.org/officeDocument/2006/relationships/header" Target="header1.xml" /><Relationship Id="rId11" Type="http://schemas.openxmlformats.org/officeDocument/2006/relationships/header" Target="header2.xml" /><Relationship Id="rId12" Type="http://schemas.openxmlformats.org/officeDocument/2006/relationships/header" Target="header5.xml" /><Relationship Id="rId13" Type="http://schemas.openxmlformats.org/officeDocument/2006/relationships/header" Target="header3.xml" /><Relationship Id="rId14" Type="http://schemas.openxmlformats.org/officeDocument/2006/relationships/footer" Target="footer1.xml"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35" Target="media/rId35.png" /><Relationship Type="http://schemas.openxmlformats.org/officeDocument/2006/relationships/hyperlink" Id="rId68" Target="http://jcc.sagepub.com/content/42/5/759" TargetMode="External" /><Relationship Type="http://schemas.openxmlformats.org/officeDocument/2006/relationships/hyperlink" Id="rId66" Target="http://scholarworks.gvsu.edu/cgi/viewcontent.cgi?article=1116&amp;context=orpc" TargetMode="External" /><Relationship Type="http://schemas.openxmlformats.org/officeDocument/2006/relationships/hyperlink" Id="rId61" Target="https://doi.org/10.1080/10361149850525" TargetMode="External" /><Relationship Type="http://schemas.openxmlformats.org/officeDocument/2006/relationships/hyperlink" Id="rId70" Target="https://iq.hse.ru/news/177670948.html" TargetMode="External" /><Relationship Type="http://schemas.openxmlformats.org/officeDocument/2006/relationships/hyperlink" Id="rId63" Target="https://www.europeansocialsurvey.org/docs/methodology/ESS1_human_values_scale.pdf" TargetMode="External" /><Relationship Type="http://schemas.openxmlformats.org/officeDocument/2006/relationships/hyperlink" Id="rId59" Target="www.ggdc.net/maddison" TargetMode="External" /></Relationships>
</file>

<file path=word/_rels/footnotes.xml.rels><?xml version="1.0" encoding="UTF-8"?>
<Relationships xmlns="http://schemas.openxmlformats.org/package/2006/relationships"><Relationship Type="http://schemas.openxmlformats.org/officeDocument/2006/relationships/hyperlink" Id="rId68" Target="http://jcc.sagepub.com/content/42/5/759" TargetMode="External" /><Relationship Type="http://schemas.openxmlformats.org/officeDocument/2006/relationships/hyperlink" Id="rId66" Target="http://scholarworks.gvsu.edu/cgi/viewcontent.cgi?article=1116&amp;context=orpc" TargetMode="External" /><Relationship Type="http://schemas.openxmlformats.org/officeDocument/2006/relationships/hyperlink" Id="rId61" Target="https://doi.org/10.1080/10361149850525" TargetMode="External" /><Relationship Type="http://schemas.openxmlformats.org/officeDocument/2006/relationships/hyperlink" Id="rId70" Target="https://iq.hse.ru/news/177670948.html" TargetMode="External" /><Relationship Type="http://schemas.openxmlformats.org/officeDocument/2006/relationships/hyperlink" Id="rId63" Target="https://www.europeansocialsurvey.org/docs/methodology/ESS1_human_values_scale.pdf" TargetMode="External" /><Relationship Type="http://schemas.openxmlformats.org/officeDocument/2006/relationships/hyperlink" Id="rId59" Target="www.ggdc.net/maddison" TargetMode="External" /></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example.dotx</Template>
  <TotalTime>1</TotalTime>
  <Pages>103</Pages>
  <Words>16965</Words>
  <Characters>101451</Characters>
  <Application>Microsoft Macintosh Word</Application>
  <DocSecurity>0</DocSecurity>
  <Lines>4831</Lines>
  <Paragraphs>3482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2019-05-18T17:04:51Z</dcterms:created>
  <dcterms:modified xsi:type="dcterms:W3CDTF">2019-05-18T17:04:51Z</dcterms:modified>
</cp:coreProperties>
</file>