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77764" w14:textId="77777777" w:rsidR="00B45C04" w:rsidRPr="00B45C04" w:rsidRDefault="00B45C04" w:rsidP="00B45C04">
      <w:r w:rsidRPr="00B45C04">
        <w:t>1. </w:t>
      </w:r>
      <w:r w:rsidRPr="00B45C04">
        <w:rPr>
          <w:b/>
          <w:bCs/>
        </w:rPr>
        <w:t>Revista de publicación</w:t>
      </w:r>
    </w:p>
    <w:p w14:paraId="540C094C" w14:textId="77777777" w:rsidR="00B45C04" w:rsidRPr="00B45C04" w:rsidRDefault="00B45C04" w:rsidP="00B45C04">
      <w:r w:rsidRPr="00B45C04">
        <w:t>El artículo está publicado en </w:t>
      </w:r>
      <w:proofErr w:type="spellStart"/>
      <w:r w:rsidRPr="00B45C04">
        <w:rPr>
          <w:b/>
          <w:bCs/>
        </w:rPr>
        <w:t>The</w:t>
      </w:r>
      <w:proofErr w:type="spellEnd"/>
      <w:r w:rsidRPr="00B45C04">
        <w:rPr>
          <w:b/>
          <w:bCs/>
        </w:rPr>
        <w:t xml:space="preserve"> New </w:t>
      </w:r>
      <w:proofErr w:type="spellStart"/>
      <w:r w:rsidRPr="00B45C04">
        <w:rPr>
          <w:b/>
          <w:bCs/>
        </w:rPr>
        <w:t>England</w:t>
      </w:r>
      <w:proofErr w:type="spellEnd"/>
      <w:r w:rsidRPr="00B45C04">
        <w:rPr>
          <w:b/>
          <w:bCs/>
        </w:rPr>
        <w:t xml:space="preserve"> </w:t>
      </w:r>
      <w:proofErr w:type="spellStart"/>
      <w:r w:rsidRPr="00B45C04">
        <w:rPr>
          <w:b/>
          <w:bCs/>
        </w:rPr>
        <w:t>Journal</w:t>
      </w:r>
      <w:proofErr w:type="spellEnd"/>
      <w:r w:rsidRPr="00B45C04">
        <w:rPr>
          <w:b/>
          <w:bCs/>
        </w:rPr>
        <w:t xml:space="preserve"> </w:t>
      </w:r>
      <w:proofErr w:type="spellStart"/>
      <w:r w:rsidRPr="00B45C04">
        <w:rPr>
          <w:b/>
          <w:bCs/>
        </w:rPr>
        <w:t>of</w:t>
      </w:r>
      <w:proofErr w:type="spellEnd"/>
      <w:r w:rsidRPr="00B45C04">
        <w:rPr>
          <w:b/>
          <w:bCs/>
        </w:rPr>
        <w:t xml:space="preserve"> Medicine (NEJM)</w:t>
      </w:r>
      <w:r w:rsidRPr="00B45C04">
        <w:t>.</w:t>
      </w:r>
    </w:p>
    <w:p w14:paraId="6CCD9DDF" w14:textId="77777777" w:rsidR="00B45C04" w:rsidRPr="00B45C04" w:rsidRDefault="00B45C04" w:rsidP="00B45C04">
      <w:r w:rsidRPr="00B45C04">
        <w:t>2. </w:t>
      </w:r>
      <w:r w:rsidRPr="00B45C04">
        <w:rPr>
          <w:b/>
          <w:bCs/>
        </w:rPr>
        <w:t>Factor de impacto de la revista</w:t>
      </w:r>
    </w:p>
    <w:p w14:paraId="272E581E" w14:textId="379AC31F" w:rsidR="00B45C04" w:rsidRPr="00B45C04" w:rsidRDefault="00B45C04" w:rsidP="00B45C04">
      <w:r w:rsidRPr="00B45C04">
        <w:t>El factor de impacto de </w:t>
      </w:r>
      <w:proofErr w:type="spellStart"/>
      <w:r w:rsidRPr="00B45C04">
        <w:rPr>
          <w:i/>
          <w:iCs/>
        </w:rPr>
        <w:t>The</w:t>
      </w:r>
      <w:proofErr w:type="spellEnd"/>
      <w:r w:rsidRPr="00B45C04">
        <w:rPr>
          <w:i/>
          <w:iCs/>
        </w:rPr>
        <w:t xml:space="preserve"> New </w:t>
      </w:r>
      <w:proofErr w:type="spellStart"/>
      <w:r w:rsidRPr="00B45C04">
        <w:rPr>
          <w:i/>
          <w:iCs/>
        </w:rPr>
        <w:t>England</w:t>
      </w:r>
      <w:proofErr w:type="spellEnd"/>
      <w:r w:rsidRPr="00B45C04">
        <w:rPr>
          <w:i/>
          <w:iCs/>
        </w:rPr>
        <w:t xml:space="preserve"> </w:t>
      </w:r>
      <w:proofErr w:type="spellStart"/>
      <w:r w:rsidRPr="00B45C04">
        <w:rPr>
          <w:i/>
          <w:iCs/>
        </w:rPr>
        <w:t>Journal</w:t>
      </w:r>
      <w:proofErr w:type="spellEnd"/>
      <w:r w:rsidRPr="00B45C04">
        <w:rPr>
          <w:i/>
          <w:iCs/>
        </w:rPr>
        <w:t xml:space="preserve"> </w:t>
      </w:r>
      <w:proofErr w:type="spellStart"/>
      <w:r w:rsidRPr="00B45C04">
        <w:rPr>
          <w:i/>
          <w:iCs/>
        </w:rPr>
        <w:t>of</w:t>
      </w:r>
      <w:proofErr w:type="spellEnd"/>
      <w:r w:rsidRPr="00B45C04">
        <w:rPr>
          <w:i/>
          <w:iCs/>
        </w:rPr>
        <w:t xml:space="preserve"> Medicine</w:t>
      </w:r>
      <w:r w:rsidRPr="00B45C04">
        <w:t> en 2023 es </w:t>
      </w:r>
      <w:r w:rsidRPr="00B45C04">
        <w:rPr>
          <w:b/>
          <w:bCs/>
        </w:rPr>
        <w:t>158.5</w:t>
      </w:r>
      <w:r w:rsidRPr="00B45C04">
        <w:t>, lo que la convierte en una de las revistas médicas más prestigiosas y con mayor impacto a nivel mundial.</w:t>
      </w:r>
      <w:r>
        <w:t xml:space="preserve"> </w:t>
      </w:r>
      <w:r w:rsidRPr="00B45C04">
        <w:rPr>
          <w:highlight w:val="yellow"/>
        </w:rPr>
        <w:t>(Ranking Número 1)</w:t>
      </w:r>
    </w:p>
    <w:p w14:paraId="37F74426" w14:textId="77777777" w:rsidR="00B45C04" w:rsidRPr="00B45C04" w:rsidRDefault="00B45C04" w:rsidP="00B45C04">
      <w:r w:rsidRPr="00B45C04">
        <w:t>3. </w:t>
      </w:r>
      <w:r w:rsidRPr="00B45C04">
        <w:rPr>
          <w:b/>
          <w:bCs/>
        </w:rPr>
        <w:t>Objetivo</w:t>
      </w:r>
    </w:p>
    <w:p w14:paraId="02C34108" w14:textId="77777777" w:rsidR="00B45C04" w:rsidRDefault="00B45C04" w:rsidP="00B45C04">
      <w:r w:rsidRPr="00B45C04">
        <w:t>Evaluar la eficacia</w:t>
      </w:r>
      <w:r>
        <w:t xml:space="preserve"> </w:t>
      </w:r>
      <w:r w:rsidRPr="00B45C04">
        <w:rPr>
          <w:highlight w:val="yellow"/>
        </w:rPr>
        <w:t>(</w:t>
      </w:r>
      <w:proofErr w:type="gramStart"/>
      <w:r w:rsidRPr="00B45C04">
        <w:rPr>
          <w:highlight w:val="yellow"/>
        </w:rPr>
        <w:t>o eficiencia</w:t>
      </w:r>
      <w:r>
        <w:rPr>
          <w:highlight w:val="yellow"/>
        </w:rPr>
        <w:t>?</w:t>
      </w:r>
      <w:proofErr w:type="gramEnd"/>
      <w:r w:rsidRPr="00B45C04">
        <w:rPr>
          <w:highlight w:val="yellow"/>
        </w:rPr>
        <w:t>)</w:t>
      </w:r>
      <w:r w:rsidRPr="00B45C04">
        <w:t xml:space="preserve"> y seguridad de la vacuna tetravalente atenuada </w:t>
      </w:r>
      <w:proofErr w:type="spellStart"/>
      <w:r w:rsidRPr="00B45C04">
        <w:t>Butantan</w:t>
      </w:r>
      <w:proofErr w:type="spellEnd"/>
      <w:r w:rsidRPr="00B45C04">
        <w:t>-DV en la prevención del dengue sintomático en niños, adolescentes y adultos (2 a 59 años), independientemente de su historial de exposición previa al dengue.</w:t>
      </w:r>
      <w:r>
        <w:t xml:space="preserve"> </w:t>
      </w:r>
    </w:p>
    <w:p w14:paraId="23FE4A10" w14:textId="5DF7D789" w:rsidR="00B45C04" w:rsidRDefault="00B45C04" w:rsidP="00B45C04">
      <w:r w:rsidRPr="00B45C04">
        <w:rPr>
          <w:highlight w:val="yellow"/>
        </w:rPr>
        <w:t xml:space="preserve">(evaluar la eficiencia sintomática confirmado virológicamente post 28 </w:t>
      </w:r>
      <w:proofErr w:type="spellStart"/>
      <w:r w:rsidRPr="00B45C04">
        <w:rPr>
          <w:highlight w:val="yellow"/>
        </w:rPr>
        <w:t>dias</w:t>
      </w:r>
      <w:proofErr w:type="spellEnd"/>
      <w:r w:rsidRPr="00B45C04">
        <w:rPr>
          <w:highlight w:val="yellow"/>
        </w:rPr>
        <w:t xml:space="preserve"> de la vacunación y describir la seguridad (es decir, estudiar la presencia de efectos </w:t>
      </w:r>
      <w:proofErr w:type="gramStart"/>
      <w:r w:rsidRPr="00B45C04">
        <w:rPr>
          <w:highlight w:val="yellow"/>
        </w:rPr>
        <w:t>adversos)al</w:t>
      </w:r>
      <w:proofErr w:type="gramEnd"/>
      <w:r w:rsidRPr="00B45C04">
        <w:rPr>
          <w:highlight w:val="yellow"/>
        </w:rPr>
        <w:t xml:space="preserve"> día 21)</w:t>
      </w:r>
    </w:p>
    <w:p w14:paraId="1789C0FD" w14:textId="79634FEF" w:rsidR="00B45C04" w:rsidRPr="00B45C04" w:rsidRDefault="00B45C04" w:rsidP="00B45C04">
      <w:r w:rsidRPr="00B45C04">
        <w:rPr>
          <w:highlight w:val="yellow"/>
        </w:rPr>
        <w:t>Objetivo secundario: Evaluar la presencia de anticuerpos</w:t>
      </w:r>
    </w:p>
    <w:p w14:paraId="6D6BFCA2" w14:textId="77777777" w:rsidR="00B45C04" w:rsidRPr="00B45C04" w:rsidRDefault="00B45C04" w:rsidP="00B45C04">
      <w:r w:rsidRPr="00B45C04">
        <w:t>4. </w:t>
      </w:r>
      <w:r w:rsidRPr="00B45C04">
        <w:rPr>
          <w:b/>
          <w:bCs/>
        </w:rPr>
        <w:t>Diseño del estudio</w:t>
      </w:r>
    </w:p>
    <w:p w14:paraId="62C7D53A" w14:textId="77777777" w:rsidR="00B45C04" w:rsidRPr="00B45C04" w:rsidRDefault="00B45C04" w:rsidP="00B45C04">
      <w:pPr>
        <w:numPr>
          <w:ilvl w:val="0"/>
          <w:numId w:val="1"/>
        </w:numPr>
      </w:pPr>
      <w:r w:rsidRPr="00B45C04">
        <w:rPr>
          <w:b/>
          <w:bCs/>
        </w:rPr>
        <w:t>Tipo de estudio</w:t>
      </w:r>
      <w:r w:rsidRPr="00B45C04">
        <w:t>: Ensayo clínico fase 3, aleatorizado, doble ciego, controlado con placebo.</w:t>
      </w:r>
    </w:p>
    <w:p w14:paraId="274BEE02" w14:textId="77777777" w:rsidR="00B45C04" w:rsidRPr="00B45C04" w:rsidRDefault="00B45C04" w:rsidP="00B45C04">
      <w:pPr>
        <w:numPr>
          <w:ilvl w:val="0"/>
          <w:numId w:val="1"/>
        </w:numPr>
      </w:pPr>
      <w:r w:rsidRPr="00B45C04">
        <w:rPr>
          <w:b/>
          <w:bCs/>
        </w:rPr>
        <w:t>Participantes</w:t>
      </w:r>
      <w:r w:rsidRPr="00B45C04">
        <w:t>: 16,235 individuos asignados aleatoriamente en una proporción 2:1 (</w:t>
      </w:r>
      <w:proofErr w:type="spellStart"/>
      <w:proofErr w:type="gramStart"/>
      <w:r w:rsidRPr="00B45C04">
        <w:t>vacuna:placebo</w:t>
      </w:r>
      <w:proofErr w:type="spellEnd"/>
      <w:proofErr w:type="gramEnd"/>
      <w:r w:rsidRPr="00B45C04">
        <w:t>).</w:t>
      </w:r>
    </w:p>
    <w:p w14:paraId="26F697B2" w14:textId="77777777" w:rsidR="00B45C04" w:rsidRPr="00B45C04" w:rsidRDefault="00B45C04" w:rsidP="00B45C04">
      <w:pPr>
        <w:numPr>
          <w:ilvl w:val="0"/>
          <w:numId w:val="1"/>
        </w:numPr>
      </w:pPr>
      <w:r w:rsidRPr="00B45C04">
        <w:rPr>
          <w:b/>
          <w:bCs/>
        </w:rPr>
        <w:t>Estratificación</w:t>
      </w:r>
      <w:r w:rsidRPr="00B45C04">
        <w:t>: Por grupos de edad (2-6, 7-17 y 18-59 años).</w:t>
      </w:r>
    </w:p>
    <w:p w14:paraId="5D2660C1" w14:textId="77777777" w:rsidR="00B45C04" w:rsidRDefault="00B45C04" w:rsidP="00B45C04">
      <w:pPr>
        <w:numPr>
          <w:ilvl w:val="0"/>
          <w:numId w:val="1"/>
        </w:numPr>
      </w:pPr>
      <w:r w:rsidRPr="00B45C04">
        <w:rPr>
          <w:b/>
          <w:bCs/>
        </w:rPr>
        <w:t>Seguimiento</w:t>
      </w:r>
      <w:r w:rsidRPr="00B45C04">
        <w:t>: 2 años para los resultados presentados (seguimiento total planificado: 5 años).</w:t>
      </w:r>
    </w:p>
    <w:p w14:paraId="0152A4DB" w14:textId="7F7F72A3" w:rsidR="00B45C04" w:rsidRPr="00B45C04" w:rsidRDefault="00B45C04" w:rsidP="00B45C04">
      <w:pPr>
        <w:numPr>
          <w:ilvl w:val="0"/>
          <w:numId w:val="1"/>
        </w:numPr>
        <w:rPr>
          <w:highlight w:val="yellow"/>
        </w:rPr>
      </w:pPr>
      <w:r w:rsidRPr="00B45C04">
        <w:rPr>
          <w:b/>
          <w:bCs/>
          <w:highlight w:val="yellow"/>
        </w:rPr>
        <w:t>Población por Protocolo</w:t>
      </w:r>
    </w:p>
    <w:p w14:paraId="44B985A8" w14:textId="78D3B2E3" w:rsidR="00B45C04" w:rsidRPr="00B45C04" w:rsidRDefault="006E6FC8" w:rsidP="00B45C04">
      <w:pPr>
        <w:numPr>
          <w:ilvl w:val="0"/>
          <w:numId w:val="1"/>
        </w:numPr>
        <w:rPr>
          <w:highlight w:val="yellow"/>
        </w:rPr>
      </w:pPr>
      <w:r>
        <w:rPr>
          <w:b/>
          <w:bCs/>
          <w:highlight w:val="yellow"/>
        </w:rPr>
        <w:t xml:space="preserve">Multicéntrico: </w:t>
      </w:r>
      <w:r w:rsidRPr="006E6FC8">
        <w:rPr>
          <w:highlight w:val="yellow"/>
        </w:rPr>
        <w:t>(16 centros de Brasil)</w:t>
      </w:r>
    </w:p>
    <w:p w14:paraId="245AA4D5" w14:textId="77777777" w:rsidR="00B45C04" w:rsidRPr="00B45C04" w:rsidRDefault="00B45C04" w:rsidP="00B45C04">
      <w:r w:rsidRPr="00B45C04">
        <w:t>5. </w:t>
      </w:r>
      <w:r w:rsidRPr="00B45C04">
        <w:rPr>
          <w:b/>
          <w:bCs/>
        </w:rPr>
        <w:t>Criterios de inclusión/exclusión</w:t>
      </w:r>
    </w:p>
    <w:p w14:paraId="44723541" w14:textId="77777777" w:rsidR="00B45C04" w:rsidRPr="00B45C04" w:rsidRDefault="00B45C04" w:rsidP="00B45C04">
      <w:pPr>
        <w:numPr>
          <w:ilvl w:val="0"/>
          <w:numId w:val="2"/>
        </w:numPr>
      </w:pPr>
      <w:r w:rsidRPr="00B45C04">
        <w:rPr>
          <w:b/>
          <w:bCs/>
        </w:rPr>
        <w:t>Inclusión</w:t>
      </w:r>
      <w:r w:rsidRPr="00B45C04">
        <w:t>:</w:t>
      </w:r>
    </w:p>
    <w:p w14:paraId="6C71C917" w14:textId="77777777" w:rsidR="00B45C04" w:rsidRPr="00B45C04" w:rsidRDefault="00B45C04" w:rsidP="00B45C04">
      <w:pPr>
        <w:numPr>
          <w:ilvl w:val="1"/>
          <w:numId w:val="2"/>
        </w:numPr>
      </w:pPr>
      <w:r w:rsidRPr="00B45C04">
        <w:t>Edad: 2-59 años.</w:t>
      </w:r>
    </w:p>
    <w:p w14:paraId="643C6653" w14:textId="77777777" w:rsidR="00B45C04" w:rsidRPr="00B45C04" w:rsidRDefault="00B45C04" w:rsidP="00B45C04">
      <w:pPr>
        <w:numPr>
          <w:ilvl w:val="1"/>
          <w:numId w:val="2"/>
        </w:numPr>
      </w:pPr>
      <w:r w:rsidRPr="00B45C04">
        <w:t>Saludables o con enfermedades clínicamente controladas.</w:t>
      </w:r>
    </w:p>
    <w:p w14:paraId="7C2E5870" w14:textId="77777777" w:rsidR="00B45C04" w:rsidRPr="00B45C04" w:rsidRDefault="00B45C04" w:rsidP="00B45C04">
      <w:pPr>
        <w:numPr>
          <w:ilvl w:val="0"/>
          <w:numId w:val="2"/>
        </w:numPr>
      </w:pPr>
      <w:r w:rsidRPr="00B45C04">
        <w:rPr>
          <w:b/>
          <w:bCs/>
        </w:rPr>
        <w:t>Exclusión</w:t>
      </w:r>
      <w:r w:rsidRPr="00B45C04">
        <w:t>:</w:t>
      </w:r>
    </w:p>
    <w:p w14:paraId="1903BC2C" w14:textId="77777777" w:rsidR="00B45C04" w:rsidRPr="00B45C04" w:rsidRDefault="00B45C04" w:rsidP="00B45C04">
      <w:pPr>
        <w:numPr>
          <w:ilvl w:val="1"/>
          <w:numId w:val="2"/>
        </w:numPr>
      </w:pPr>
      <w:r w:rsidRPr="00B45C04">
        <w:t>Inmunocomprometidos.</w:t>
      </w:r>
    </w:p>
    <w:p w14:paraId="3F56A4A6" w14:textId="77777777" w:rsidR="00B45C04" w:rsidRPr="00B45C04" w:rsidRDefault="00B45C04" w:rsidP="00B45C04">
      <w:pPr>
        <w:numPr>
          <w:ilvl w:val="1"/>
          <w:numId w:val="2"/>
        </w:numPr>
      </w:pPr>
      <w:r w:rsidRPr="00B45C04">
        <w:lastRenderedPageBreak/>
        <w:t>Embarazo.</w:t>
      </w:r>
    </w:p>
    <w:p w14:paraId="79F744C6" w14:textId="77777777" w:rsidR="00B45C04" w:rsidRPr="00B45C04" w:rsidRDefault="00B45C04" w:rsidP="00B45C04">
      <w:pPr>
        <w:numPr>
          <w:ilvl w:val="1"/>
          <w:numId w:val="2"/>
        </w:numPr>
      </w:pPr>
      <w:r w:rsidRPr="00B45C04">
        <w:t>Vacunación previa contra el dengue.</w:t>
      </w:r>
    </w:p>
    <w:p w14:paraId="1E166348" w14:textId="77777777" w:rsidR="00B45C04" w:rsidRPr="00B45C04" w:rsidRDefault="00B45C04" w:rsidP="00B45C04">
      <w:r w:rsidRPr="00B45C04">
        <w:t>6. </w:t>
      </w:r>
      <w:r w:rsidRPr="00B45C04">
        <w:rPr>
          <w:b/>
          <w:bCs/>
        </w:rPr>
        <w:t>Metodología estadística</w:t>
      </w:r>
    </w:p>
    <w:p w14:paraId="5BEB84AA" w14:textId="77777777" w:rsidR="00B45C04" w:rsidRPr="00B45C04" w:rsidRDefault="00B45C04" w:rsidP="00B45C04">
      <w:pPr>
        <w:numPr>
          <w:ilvl w:val="0"/>
          <w:numId w:val="3"/>
        </w:numPr>
      </w:pPr>
      <w:r w:rsidRPr="00B45C04">
        <w:rPr>
          <w:b/>
          <w:bCs/>
        </w:rPr>
        <w:t>Tamaño muestral</w:t>
      </w:r>
      <w:r w:rsidRPr="00B45C04">
        <w:t xml:space="preserve">: Cálculo basado en la fórmula de </w:t>
      </w:r>
      <w:proofErr w:type="spellStart"/>
      <w:r w:rsidRPr="00B45C04">
        <w:t>Blackwelder</w:t>
      </w:r>
      <w:proofErr w:type="spellEnd"/>
      <w:r w:rsidRPr="00B45C04">
        <w:t xml:space="preserve"> con aproximación de Poisson.</w:t>
      </w:r>
    </w:p>
    <w:p w14:paraId="754D60D8" w14:textId="77777777" w:rsidR="00B45C04" w:rsidRPr="00B45C04" w:rsidRDefault="00B45C04" w:rsidP="00B45C04">
      <w:pPr>
        <w:numPr>
          <w:ilvl w:val="0"/>
          <w:numId w:val="3"/>
        </w:numPr>
      </w:pPr>
      <w:r w:rsidRPr="00B45C04">
        <w:rPr>
          <w:b/>
          <w:bCs/>
        </w:rPr>
        <w:t>Eficacia vacunal</w:t>
      </w:r>
      <w:r w:rsidRPr="00B45C04">
        <w:t>: Fórmula:</w:t>
      </w:r>
    </w:p>
    <w:p w14:paraId="34893EAC" w14:textId="23D308A0" w:rsidR="00B45C04" w:rsidRPr="00B45C04" w:rsidRDefault="00B45C04" w:rsidP="00B45C04">
      <m:oMathPara>
        <m:oMath>
          <m:r>
            <w:rPr>
              <w:rFonts w:ascii="Cambria Math" w:hAnsi="Cambria Math"/>
            </w:rPr>
            <m:t>Eficacia=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1-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/>
            </w:rPr>
            <m:t>s)θ]</m:t>
          </m:r>
          <m:r>
            <w:rPr>
              <w:rFonts w:ascii="Cambria Math" w:hAnsi="Cambria Math"/>
            </w:rPr>
            <m:t>/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0361E3C" w14:textId="748199A8" w:rsidR="00B45C04" w:rsidRPr="00B45C04" w:rsidRDefault="00B45C04" w:rsidP="00B45C04">
      <w:r w:rsidRPr="00B45C04">
        <w:t>donde </w:t>
      </w:r>
      <w:r w:rsidRPr="00B45C04">
        <w:rPr>
          <w:i/>
          <w:iCs/>
        </w:rPr>
        <w:t>s</w:t>
      </w:r>
      <w:r w:rsidRPr="00B45C04">
        <w:t> es la razón de tiempos de seguimiento y </w:t>
      </w:r>
      <w:r w:rsidRPr="00B45C04">
        <w:rPr>
          <w:i/>
          <w:iCs/>
        </w:rPr>
        <w:t>θ</w:t>
      </w:r>
      <w:r w:rsidRPr="00B45C04">
        <w:t> la proporción de casos en el grupo vacuna.</w:t>
      </w:r>
    </w:p>
    <w:p w14:paraId="07329DCC" w14:textId="77777777" w:rsidR="00B45C04" w:rsidRPr="00B45C04" w:rsidRDefault="00B45C04" w:rsidP="00B45C04">
      <w:pPr>
        <w:numPr>
          <w:ilvl w:val="0"/>
          <w:numId w:val="3"/>
        </w:numPr>
      </w:pPr>
      <w:r w:rsidRPr="00B45C04">
        <w:rPr>
          <w:b/>
          <w:bCs/>
        </w:rPr>
        <w:t>Intervalos de confianza</w:t>
      </w:r>
      <w:r w:rsidRPr="00B45C04">
        <w:t xml:space="preserve">: Método exacto de </w:t>
      </w:r>
      <w:proofErr w:type="spellStart"/>
      <w:r w:rsidRPr="00B45C04">
        <w:t>Blaker</w:t>
      </w:r>
      <w:proofErr w:type="spellEnd"/>
      <w:r w:rsidRPr="00B45C04">
        <w:t xml:space="preserve"> (95% IC).</w:t>
      </w:r>
    </w:p>
    <w:p w14:paraId="3BDC3EDA" w14:textId="77777777" w:rsidR="00B45C04" w:rsidRPr="00B45C04" w:rsidRDefault="00B45C04" w:rsidP="00B45C04">
      <w:pPr>
        <w:numPr>
          <w:ilvl w:val="0"/>
          <w:numId w:val="3"/>
        </w:numPr>
      </w:pPr>
      <w:r w:rsidRPr="00B45C04">
        <w:rPr>
          <w:b/>
          <w:bCs/>
        </w:rPr>
        <w:t>Población de análisis</w:t>
      </w:r>
      <w:r w:rsidRPr="00B45C04">
        <w:t>:</w:t>
      </w:r>
    </w:p>
    <w:p w14:paraId="0B63FD53" w14:textId="6F7B1F02" w:rsidR="00B45C04" w:rsidRPr="00B45C04" w:rsidRDefault="00B45C04" w:rsidP="00B45C04">
      <w:pPr>
        <w:numPr>
          <w:ilvl w:val="1"/>
          <w:numId w:val="3"/>
        </w:numPr>
      </w:pPr>
      <w:r w:rsidRPr="00B45C04">
        <w:rPr>
          <w:b/>
          <w:bCs/>
        </w:rPr>
        <w:t>Eficacia</w:t>
      </w:r>
      <w:r w:rsidRPr="00B45C04">
        <w:t>: P</w:t>
      </w:r>
      <w:r>
        <w:t>o</w:t>
      </w:r>
      <w:r w:rsidRPr="00B45C04">
        <w:t>r protocolo (10,215 vacunados; 5,947 placebo).</w:t>
      </w:r>
    </w:p>
    <w:p w14:paraId="15FA219C" w14:textId="77777777" w:rsidR="00B45C04" w:rsidRPr="00B45C04" w:rsidRDefault="00B45C04" w:rsidP="00B45C04">
      <w:pPr>
        <w:numPr>
          <w:ilvl w:val="1"/>
          <w:numId w:val="3"/>
        </w:numPr>
      </w:pPr>
      <w:r w:rsidRPr="00B45C04">
        <w:rPr>
          <w:b/>
          <w:bCs/>
        </w:rPr>
        <w:t>Seguridad</w:t>
      </w:r>
      <w:r w:rsidRPr="00B45C04">
        <w:t>: Todos los tratados (10,259 vacunados; 5,976 placebo).</w:t>
      </w:r>
    </w:p>
    <w:p w14:paraId="37E829F3" w14:textId="77777777" w:rsidR="00B45C04" w:rsidRPr="00B45C04" w:rsidRDefault="00B45C04" w:rsidP="00B45C04">
      <w:r w:rsidRPr="00B45C04">
        <w:t>7. </w:t>
      </w:r>
      <w:r w:rsidRPr="00B45C04">
        <w:rPr>
          <w:b/>
          <w:bCs/>
        </w:rPr>
        <w:t>Resultados principales</w:t>
      </w:r>
    </w:p>
    <w:p w14:paraId="609E25AB" w14:textId="77777777" w:rsidR="00B45C04" w:rsidRPr="00B45C04" w:rsidRDefault="00B45C04" w:rsidP="00B45C04">
      <w:pPr>
        <w:numPr>
          <w:ilvl w:val="0"/>
          <w:numId w:val="4"/>
        </w:numPr>
      </w:pPr>
      <w:r w:rsidRPr="00B45C04">
        <w:rPr>
          <w:b/>
          <w:bCs/>
        </w:rPr>
        <w:t>Eficacia global</w:t>
      </w:r>
      <w:r w:rsidRPr="00B45C04">
        <w:t>: 79.6% (IC 95%: 70.0-86.3) contra cualquier serotipo de dengue.</w:t>
      </w:r>
    </w:p>
    <w:p w14:paraId="2E17FB85" w14:textId="77777777" w:rsidR="00B45C04" w:rsidRPr="00B45C04" w:rsidRDefault="00B45C04" w:rsidP="00B45C04">
      <w:pPr>
        <w:numPr>
          <w:ilvl w:val="1"/>
          <w:numId w:val="4"/>
        </w:numPr>
      </w:pPr>
      <w:r w:rsidRPr="00B45C04">
        <w:rPr>
          <w:b/>
          <w:bCs/>
        </w:rPr>
        <w:t>Por serotipo</w:t>
      </w:r>
      <w:r w:rsidRPr="00B45C04">
        <w:t>:</w:t>
      </w:r>
    </w:p>
    <w:p w14:paraId="6918F475" w14:textId="77777777" w:rsidR="00B45C04" w:rsidRPr="00B45C04" w:rsidRDefault="00B45C04" w:rsidP="00B45C04">
      <w:pPr>
        <w:numPr>
          <w:ilvl w:val="2"/>
          <w:numId w:val="4"/>
        </w:numPr>
      </w:pPr>
      <w:r w:rsidRPr="00B45C04">
        <w:t>DENV-1: 89.5% (IC 95%: 78.7-95.0).</w:t>
      </w:r>
    </w:p>
    <w:p w14:paraId="7D670FDB" w14:textId="77777777" w:rsidR="00B45C04" w:rsidRPr="00B45C04" w:rsidRDefault="00B45C04" w:rsidP="00B45C04">
      <w:pPr>
        <w:numPr>
          <w:ilvl w:val="2"/>
          <w:numId w:val="4"/>
        </w:numPr>
      </w:pPr>
      <w:r w:rsidRPr="00B45C04">
        <w:t>DENV-2: 69.6% (IC 95%: 50.8-81.5).</w:t>
      </w:r>
    </w:p>
    <w:p w14:paraId="75D83F37" w14:textId="77777777" w:rsidR="00B45C04" w:rsidRPr="00B45C04" w:rsidRDefault="00B45C04" w:rsidP="00B45C04">
      <w:pPr>
        <w:numPr>
          <w:ilvl w:val="2"/>
          <w:numId w:val="4"/>
        </w:numPr>
      </w:pPr>
      <w:r w:rsidRPr="00B45C04">
        <w:t>DENV-3/DENV-4: No detectados durante el estudio.</w:t>
      </w:r>
    </w:p>
    <w:p w14:paraId="03FE0829" w14:textId="77777777" w:rsidR="00B45C04" w:rsidRPr="00B45C04" w:rsidRDefault="00B45C04" w:rsidP="00B45C04">
      <w:pPr>
        <w:numPr>
          <w:ilvl w:val="1"/>
          <w:numId w:val="4"/>
        </w:numPr>
      </w:pPr>
      <w:r w:rsidRPr="00B45C04">
        <w:rPr>
          <w:b/>
          <w:bCs/>
        </w:rPr>
        <w:t>Por edad</w:t>
      </w:r>
      <w:r w:rsidRPr="00B45C04">
        <w:t>:</w:t>
      </w:r>
    </w:p>
    <w:p w14:paraId="438BC504" w14:textId="77777777" w:rsidR="00B45C04" w:rsidRPr="00B45C04" w:rsidRDefault="00B45C04" w:rsidP="00B45C04">
      <w:pPr>
        <w:numPr>
          <w:ilvl w:val="2"/>
          <w:numId w:val="4"/>
        </w:numPr>
      </w:pPr>
      <w:r w:rsidRPr="00B45C04">
        <w:t>2-6 años: 80.1%.</w:t>
      </w:r>
    </w:p>
    <w:p w14:paraId="6412062A" w14:textId="77777777" w:rsidR="00B45C04" w:rsidRPr="00B45C04" w:rsidRDefault="00B45C04" w:rsidP="00B45C04">
      <w:pPr>
        <w:numPr>
          <w:ilvl w:val="2"/>
          <w:numId w:val="4"/>
        </w:numPr>
      </w:pPr>
      <w:r w:rsidRPr="00B45C04">
        <w:t>7-17 años: 77.8%.</w:t>
      </w:r>
    </w:p>
    <w:p w14:paraId="22835FB0" w14:textId="77777777" w:rsidR="00B45C04" w:rsidRPr="00B45C04" w:rsidRDefault="00B45C04" w:rsidP="00B45C04">
      <w:pPr>
        <w:numPr>
          <w:ilvl w:val="2"/>
          <w:numId w:val="4"/>
        </w:numPr>
      </w:pPr>
      <w:r w:rsidRPr="00B45C04">
        <w:t>18-59 años: 90.0%.</w:t>
      </w:r>
    </w:p>
    <w:p w14:paraId="24FAA207" w14:textId="77777777" w:rsidR="00B45C04" w:rsidRPr="00B45C04" w:rsidRDefault="00B45C04" w:rsidP="00B45C04">
      <w:pPr>
        <w:numPr>
          <w:ilvl w:val="0"/>
          <w:numId w:val="4"/>
        </w:numPr>
      </w:pPr>
      <w:r w:rsidRPr="00B45C04">
        <w:rPr>
          <w:b/>
          <w:bCs/>
        </w:rPr>
        <w:t>Seguridad</w:t>
      </w:r>
      <w:r w:rsidRPr="00B45C04">
        <w:t>:</w:t>
      </w:r>
    </w:p>
    <w:p w14:paraId="3E26BE22" w14:textId="77777777" w:rsidR="00B45C04" w:rsidRPr="00B45C04" w:rsidRDefault="00B45C04" w:rsidP="00B45C04">
      <w:pPr>
        <w:numPr>
          <w:ilvl w:val="1"/>
          <w:numId w:val="4"/>
        </w:numPr>
      </w:pPr>
      <w:r w:rsidRPr="00B45C04">
        <w:t>Eventos adversos sistémicos más frecuentes con la vacuna (58.3% vs. 45.6% en placebo).</w:t>
      </w:r>
    </w:p>
    <w:p w14:paraId="6F590527" w14:textId="77777777" w:rsidR="00B45C04" w:rsidRPr="00B45C04" w:rsidRDefault="00B45C04" w:rsidP="00B45C04">
      <w:pPr>
        <w:numPr>
          <w:ilvl w:val="1"/>
          <w:numId w:val="4"/>
        </w:numPr>
      </w:pPr>
      <w:r w:rsidRPr="00B45C04">
        <w:t>No hubo muertes relacionadas con la vacuna.</w:t>
      </w:r>
    </w:p>
    <w:p w14:paraId="45278B19" w14:textId="77777777" w:rsidR="00B45C04" w:rsidRPr="00B45C04" w:rsidRDefault="00B45C04" w:rsidP="00B45C04">
      <w:r w:rsidRPr="00B45C04">
        <w:t>8. </w:t>
      </w:r>
      <w:r w:rsidRPr="00B45C04">
        <w:rPr>
          <w:b/>
          <w:bCs/>
        </w:rPr>
        <w:t>Posibles sesgos</w:t>
      </w:r>
    </w:p>
    <w:p w14:paraId="19102782" w14:textId="77777777" w:rsidR="00B45C04" w:rsidRPr="00B45C04" w:rsidRDefault="00B45C04" w:rsidP="00B45C04">
      <w:pPr>
        <w:numPr>
          <w:ilvl w:val="0"/>
          <w:numId w:val="5"/>
        </w:numPr>
      </w:pPr>
      <w:r w:rsidRPr="00B45C04">
        <w:rPr>
          <w:b/>
          <w:bCs/>
        </w:rPr>
        <w:lastRenderedPageBreak/>
        <w:t>Sesgo de selección</w:t>
      </w:r>
      <w:r w:rsidRPr="00B45C04">
        <w:t>:</w:t>
      </w:r>
    </w:p>
    <w:p w14:paraId="1BC86F82" w14:textId="77777777" w:rsidR="00B45C04" w:rsidRPr="00B45C04" w:rsidRDefault="00B45C04" w:rsidP="00B45C04">
      <w:pPr>
        <w:numPr>
          <w:ilvl w:val="1"/>
          <w:numId w:val="5"/>
        </w:numPr>
      </w:pPr>
      <w:r w:rsidRPr="00B45C04">
        <w:rPr>
          <w:b/>
          <w:bCs/>
        </w:rPr>
        <w:t>Riesgo</w:t>
      </w:r>
      <w:r w:rsidRPr="00B45C04">
        <w:t>: Bajo, debido a la aleatorización y estratificación por edad.</w:t>
      </w:r>
    </w:p>
    <w:p w14:paraId="736A9A6D" w14:textId="77777777" w:rsidR="00B45C04" w:rsidRPr="00B45C04" w:rsidRDefault="00B45C04" w:rsidP="00B45C04">
      <w:pPr>
        <w:numPr>
          <w:ilvl w:val="1"/>
          <w:numId w:val="5"/>
        </w:numPr>
      </w:pPr>
      <w:r w:rsidRPr="00B45C04">
        <w:rPr>
          <w:b/>
          <w:bCs/>
        </w:rPr>
        <w:t>Mitigación</w:t>
      </w:r>
      <w:r w:rsidRPr="00B45C04">
        <w:t>: Distribución equilibrada de características basales entre grupos.</w:t>
      </w:r>
    </w:p>
    <w:p w14:paraId="5BB33D62" w14:textId="77777777" w:rsidR="00B45C04" w:rsidRPr="00B45C04" w:rsidRDefault="00B45C04" w:rsidP="00B45C04">
      <w:pPr>
        <w:numPr>
          <w:ilvl w:val="0"/>
          <w:numId w:val="5"/>
        </w:numPr>
      </w:pPr>
      <w:r w:rsidRPr="00B45C04">
        <w:rPr>
          <w:b/>
          <w:bCs/>
        </w:rPr>
        <w:t>Sesgo de información</w:t>
      </w:r>
      <w:r w:rsidRPr="00B45C04">
        <w:t>:</w:t>
      </w:r>
    </w:p>
    <w:p w14:paraId="0646C720" w14:textId="77777777" w:rsidR="00B45C04" w:rsidRPr="00B45C04" w:rsidRDefault="00B45C04" w:rsidP="00B45C04">
      <w:pPr>
        <w:numPr>
          <w:ilvl w:val="1"/>
          <w:numId w:val="5"/>
        </w:numPr>
      </w:pPr>
      <w:r w:rsidRPr="00B45C04">
        <w:rPr>
          <w:b/>
          <w:bCs/>
        </w:rPr>
        <w:t>Riesgo</w:t>
      </w:r>
      <w:r w:rsidRPr="00B45C04">
        <w:t>: Bajo, por el diseño doble ciego y criterios objetivos (PCR para confirmación virológica).</w:t>
      </w:r>
    </w:p>
    <w:p w14:paraId="6451C707" w14:textId="77777777" w:rsidR="00B45C04" w:rsidRPr="00B45C04" w:rsidRDefault="00B45C04" w:rsidP="00B45C04">
      <w:pPr>
        <w:numPr>
          <w:ilvl w:val="0"/>
          <w:numId w:val="5"/>
        </w:numPr>
      </w:pPr>
      <w:r w:rsidRPr="00B45C04">
        <w:rPr>
          <w:b/>
          <w:bCs/>
        </w:rPr>
        <w:t>Sesgo de pérdida de seguimiento</w:t>
      </w:r>
      <w:r w:rsidRPr="00B45C04">
        <w:t>:</w:t>
      </w:r>
    </w:p>
    <w:p w14:paraId="304D3E6C" w14:textId="77777777" w:rsidR="00B45C04" w:rsidRPr="00B45C04" w:rsidRDefault="00B45C04" w:rsidP="00B45C04">
      <w:pPr>
        <w:numPr>
          <w:ilvl w:val="1"/>
          <w:numId w:val="5"/>
        </w:numPr>
      </w:pPr>
      <w:r w:rsidRPr="00B45C04">
        <w:rPr>
          <w:b/>
          <w:bCs/>
        </w:rPr>
        <w:t>Riesgo</w:t>
      </w:r>
      <w:r w:rsidRPr="00B45C04">
        <w:t xml:space="preserve">: Moderado (44 excluidos del análisis </w:t>
      </w:r>
      <w:proofErr w:type="gramStart"/>
      <w:r w:rsidRPr="00B45C04">
        <w:t>per protocolo</w:t>
      </w:r>
      <w:proofErr w:type="gramEnd"/>
      <w:r w:rsidRPr="00B45C04">
        <w:t>).</w:t>
      </w:r>
    </w:p>
    <w:p w14:paraId="1E6077C6" w14:textId="77777777" w:rsidR="00B45C04" w:rsidRPr="00B45C04" w:rsidRDefault="00B45C04" w:rsidP="00B45C04">
      <w:pPr>
        <w:numPr>
          <w:ilvl w:val="1"/>
          <w:numId w:val="5"/>
        </w:numPr>
      </w:pPr>
      <w:r w:rsidRPr="00B45C04">
        <w:rPr>
          <w:b/>
          <w:bCs/>
        </w:rPr>
        <w:t>Mitigación</w:t>
      </w:r>
      <w:r w:rsidRPr="00B45C04">
        <w:t xml:space="preserve">: Análisis por intención de tratar no mostrado, pero se usó población </w:t>
      </w:r>
      <w:proofErr w:type="gramStart"/>
      <w:r w:rsidRPr="00B45C04">
        <w:t>per protocolo</w:t>
      </w:r>
      <w:proofErr w:type="gramEnd"/>
      <w:r w:rsidRPr="00B45C04">
        <w:t>.</w:t>
      </w:r>
    </w:p>
    <w:p w14:paraId="75DFA5CB" w14:textId="77777777" w:rsidR="00B45C04" w:rsidRPr="00B45C04" w:rsidRDefault="00B45C04" w:rsidP="00B45C04">
      <w:pPr>
        <w:numPr>
          <w:ilvl w:val="0"/>
          <w:numId w:val="5"/>
        </w:numPr>
      </w:pPr>
      <w:r w:rsidRPr="00B45C04">
        <w:rPr>
          <w:b/>
          <w:bCs/>
        </w:rPr>
        <w:t>Sesgo de confusión</w:t>
      </w:r>
      <w:r w:rsidRPr="00B45C04">
        <w:t>:</w:t>
      </w:r>
    </w:p>
    <w:p w14:paraId="1FE845CC" w14:textId="77777777" w:rsidR="00B45C04" w:rsidRPr="00B45C04" w:rsidRDefault="00B45C04" w:rsidP="00B45C04">
      <w:pPr>
        <w:numPr>
          <w:ilvl w:val="1"/>
          <w:numId w:val="5"/>
        </w:numPr>
      </w:pPr>
      <w:r w:rsidRPr="00B45C04">
        <w:rPr>
          <w:b/>
          <w:bCs/>
        </w:rPr>
        <w:t>Riesgo</w:t>
      </w:r>
      <w:r w:rsidRPr="00B45C04">
        <w:t>: Bajo, pero la exposición previa a otros flavivirus (Zika) podría afectar resultados.</w:t>
      </w:r>
    </w:p>
    <w:p w14:paraId="2CCA7010" w14:textId="77777777" w:rsidR="00B45C04" w:rsidRPr="00B45C04" w:rsidRDefault="00B45C04" w:rsidP="00B45C04">
      <w:pPr>
        <w:numPr>
          <w:ilvl w:val="1"/>
          <w:numId w:val="5"/>
        </w:numPr>
      </w:pPr>
      <w:r w:rsidRPr="00B45C04">
        <w:rPr>
          <w:b/>
          <w:bCs/>
        </w:rPr>
        <w:t>Mitigación</w:t>
      </w:r>
      <w:r w:rsidRPr="00B45C04">
        <w:t xml:space="preserve">: Análisis estratificado por </w:t>
      </w:r>
      <w:proofErr w:type="spellStart"/>
      <w:r w:rsidRPr="00B45C04">
        <w:t>serostatus</w:t>
      </w:r>
      <w:proofErr w:type="spellEnd"/>
      <w:r w:rsidRPr="00B45C04">
        <w:t xml:space="preserve"> previo al dengue.</w:t>
      </w:r>
    </w:p>
    <w:p w14:paraId="6D39DE31" w14:textId="77777777" w:rsidR="00B45C04" w:rsidRPr="00B45C04" w:rsidRDefault="00B45C04" w:rsidP="00B45C04">
      <w:pPr>
        <w:numPr>
          <w:ilvl w:val="0"/>
          <w:numId w:val="5"/>
        </w:numPr>
      </w:pPr>
      <w:r w:rsidRPr="00B45C04">
        <w:rPr>
          <w:b/>
          <w:bCs/>
        </w:rPr>
        <w:t>Sesgo de temporalidad</w:t>
      </w:r>
      <w:r w:rsidRPr="00B45C04">
        <w:t>:</w:t>
      </w:r>
    </w:p>
    <w:p w14:paraId="600DE979" w14:textId="77777777" w:rsidR="00B45C04" w:rsidRPr="00B45C04" w:rsidRDefault="00B45C04" w:rsidP="00B45C04">
      <w:pPr>
        <w:numPr>
          <w:ilvl w:val="1"/>
          <w:numId w:val="5"/>
        </w:numPr>
      </w:pPr>
      <w:r w:rsidRPr="00B45C04">
        <w:rPr>
          <w:b/>
          <w:bCs/>
        </w:rPr>
        <w:t>Riesgo</w:t>
      </w:r>
      <w:r w:rsidRPr="00B45C04">
        <w:t>: Bajo, dado el seguimiento prospectivo.</w:t>
      </w:r>
    </w:p>
    <w:p w14:paraId="10C2A18C" w14:textId="77777777" w:rsidR="00B45C04" w:rsidRPr="00B45C04" w:rsidRDefault="00B45C04" w:rsidP="00B45C04">
      <w:r w:rsidRPr="00B45C04">
        <w:t>9. </w:t>
      </w:r>
      <w:r w:rsidRPr="00B45C04">
        <w:rPr>
          <w:b/>
          <w:bCs/>
        </w:rPr>
        <w:t>Limitaciones adicionales</w:t>
      </w:r>
    </w:p>
    <w:p w14:paraId="15BC427E" w14:textId="77777777" w:rsidR="00B45C04" w:rsidRPr="00B45C04" w:rsidRDefault="00B45C04" w:rsidP="00B45C04">
      <w:pPr>
        <w:numPr>
          <w:ilvl w:val="0"/>
          <w:numId w:val="6"/>
        </w:numPr>
      </w:pPr>
      <w:r w:rsidRPr="00B45C04">
        <w:t>Falta de datos sobre DENV-3 y DENV-4 por su baja circulación durante el estudio.</w:t>
      </w:r>
    </w:p>
    <w:p w14:paraId="724F8BF3" w14:textId="77777777" w:rsidR="00B45C04" w:rsidRDefault="00B45C04" w:rsidP="00B45C04">
      <w:pPr>
        <w:numPr>
          <w:ilvl w:val="0"/>
          <w:numId w:val="6"/>
        </w:numPr>
      </w:pPr>
      <w:r w:rsidRPr="00B45C04">
        <w:t>Corto plazo de seguimiento (2 años); resultados a 5 años podrían variar.</w:t>
      </w:r>
    </w:p>
    <w:p w14:paraId="624BD1A3" w14:textId="5ECFBC2D" w:rsidR="006E6FC8" w:rsidRPr="00B45C04" w:rsidRDefault="006E6FC8" w:rsidP="00B45C04">
      <w:pPr>
        <w:numPr>
          <w:ilvl w:val="0"/>
          <w:numId w:val="6"/>
        </w:numPr>
        <w:rPr>
          <w:highlight w:val="yellow"/>
        </w:rPr>
      </w:pPr>
      <w:r w:rsidRPr="006E6FC8">
        <w:rPr>
          <w:highlight w:val="yellow"/>
        </w:rPr>
        <w:t>Por el brote de Zika que hubo en la zona cerca del estudio bajó la incidencia de dengue</w:t>
      </w:r>
    </w:p>
    <w:p w14:paraId="70B8E19C" w14:textId="77777777" w:rsidR="00B45C04" w:rsidRPr="00B45C04" w:rsidRDefault="00B45C04" w:rsidP="00B45C04">
      <w:r w:rsidRPr="00B45C04">
        <w:pict w14:anchorId="088044AE">
          <v:rect id="_x0000_i1031" style="width:0;height:.75pt" o:hralign="center" o:hrstd="t" o:hrnoshade="t" o:hr="t" fillcolor="#404040" stroked="f"/>
        </w:pict>
      </w:r>
    </w:p>
    <w:p w14:paraId="7FB41315" w14:textId="77777777" w:rsidR="00B45C04" w:rsidRPr="00B45C04" w:rsidRDefault="00B45C04" w:rsidP="00B45C04">
      <w:r w:rsidRPr="00B45C04">
        <w:rPr>
          <w:b/>
          <w:bCs/>
        </w:rPr>
        <w:t>Nota</w:t>
      </w:r>
      <w:r w:rsidRPr="00B45C04">
        <w:t>: El artículo cumple con altos estándares metodológicos, pero la generalización a otras poblaciones requiere estudios en diferentes contextos epidemiológicos.</w:t>
      </w:r>
    </w:p>
    <w:p w14:paraId="3284BAE5" w14:textId="77777777" w:rsidR="006E6FC8" w:rsidRPr="006E6FC8" w:rsidRDefault="006E6FC8" w:rsidP="006E6FC8">
      <w:r w:rsidRPr="006E6FC8">
        <w:t>Los sesgos en un estudio pueden afectar la validez de los resultados. En este ensayo clínico, aunque el diseño es robusto, existen algunos sesgos potenciales que deben considerarse:</w:t>
      </w:r>
    </w:p>
    <w:p w14:paraId="2902C2BA" w14:textId="77777777" w:rsidR="006E6FC8" w:rsidRPr="006E6FC8" w:rsidRDefault="006E6FC8" w:rsidP="006E6FC8">
      <w:r w:rsidRPr="006E6FC8">
        <w:pict w14:anchorId="2923D8E0">
          <v:rect id="_x0000_i1075" style="width:0;height:.75pt" o:hralign="center" o:hrstd="t" o:hrnoshade="t" o:hr="t" fillcolor="#404040" stroked="f"/>
        </w:pict>
      </w:r>
    </w:p>
    <w:p w14:paraId="69F523BF" w14:textId="77777777" w:rsidR="006E6FC8" w:rsidRPr="006E6FC8" w:rsidRDefault="006E6FC8" w:rsidP="006E6FC8">
      <w:r w:rsidRPr="006E6FC8">
        <w:rPr>
          <w:b/>
          <w:bCs/>
        </w:rPr>
        <w:lastRenderedPageBreak/>
        <w:t>1. Sesgo de Selección</w:t>
      </w:r>
    </w:p>
    <w:p w14:paraId="7C694FD8" w14:textId="77777777" w:rsidR="006E6FC8" w:rsidRPr="006E6FC8" w:rsidRDefault="006E6FC8" w:rsidP="006E6FC8">
      <w:r w:rsidRPr="006E6FC8">
        <w:rPr>
          <w:b/>
          <w:bCs/>
        </w:rPr>
        <w:t>Definición</w:t>
      </w:r>
      <w:r w:rsidRPr="006E6FC8">
        <w:t>: Ocurre cuando los grupos comparados (vacuna vs. placebo) no son similares al inicio del estudio debido a errores en la asignación o reclutamiento.</w:t>
      </w:r>
    </w:p>
    <w:p w14:paraId="6F28FC2A" w14:textId="77777777" w:rsidR="006E6FC8" w:rsidRPr="006E6FC8" w:rsidRDefault="006E6FC8" w:rsidP="006E6FC8">
      <w:r w:rsidRPr="006E6FC8">
        <w:rPr>
          <w:b/>
          <w:bCs/>
        </w:rPr>
        <w:t>Riesgo en este estudio</w:t>
      </w:r>
      <w:r w:rsidRPr="006E6FC8">
        <w:t>:</w:t>
      </w:r>
    </w:p>
    <w:p w14:paraId="125ECA47" w14:textId="77777777" w:rsidR="006E6FC8" w:rsidRPr="006E6FC8" w:rsidRDefault="006E6FC8" w:rsidP="006E6FC8">
      <w:pPr>
        <w:numPr>
          <w:ilvl w:val="0"/>
          <w:numId w:val="7"/>
        </w:numPr>
      </w:pPr>
      <w:r w:rsidRPr="006E6FC8">
        <w:rPr>
          <w:b/>
          <w:bCs/>
        </w:rPr>
        <w:t>Bajo</w:t>
      </w:r>
      <w:r w:rsidRPr="006E6FC8">
        <w:t>, porque:</w:t>
      </w:r>
    </w:p>
    <w:p w14:paraId="5982B260" w14:textId="77777777" w:rsidR="006E6FC8" w:rsidRPr="006E6FC8" w:rsidRDefault="006E6FC8" w:rsidP="006E6FC8">
      <w:pPr>
        <w:numPr>
          <w:ilvl w:val="1"/>
          <w:numId w:val="7"/>
        </w:numPr>
      </w:pPr>
      <w:r w:rsidRPr="006E6FC8">
        <w:t>Hubo </w:t>
      </w:r>
      <w:r w:rsidRPr="006E6FC8">
        <w:rPr>
          <w:b/>
          <w:bCs/>
        </w:rPr>
        <w:t>aleatorización</w:t>
      </w:r>
      <w:r w:rsidRPr="006E6FC8">
        <w:t> (2:1) y </w:t>
      </w:r>
      <w:r w:rsidRPr="006E6FC8">
        <w:rPr>
          <w:b/>
          <w:bCs/>
        </w:rPr>
        <w:t>estratificación por edad</w:t>
      </w:r>
      <w:r w:rsidRPr="006E6FC8">
        <w:t>, lo que equilibra características basales.</w:t>
      </w:r>
    </w:p>
    <w:p w14:paraId="0601E9A4" w14:textId="77777777" w:rsidR="006E6FC8" w:rsidRPr="006E6FC8" w:rsidRDefault="006E6FC8" w:rsidP="006E6FC8">
      <w:pPr>
        <w:numPr>
          <w:ilvl w:val="1"/>
          <w:numId w:val="7"/>
        </w:numPr>
      </w:pPr>
      <w:r w:rsidRPr="006E6FC8">
        <w:t>La tabla de características demográficas (Tabla 1) muestra distribución similar en sexo, edad y exposición previa al dengue.</w:t>
      </w:r>
    </w:p>
    <w:p w14:paraId="126CE71D" w14:textId="77777777" w:rsidR="006E6FC8" w:rsidRPr="006E6FC8" w:rsidRDefault="006E6FC8" w:rsidP="006E6FC8">
      <w:r w:rsidRPr="006E6FC8">
        <w:rPr>
          <w:b/>
          <w:bCs/>
        </w:rPr>
        <w:t>Posible problema</w:t>
      </w:r>
      <w:r w:rsidRPr="006E6FC8">
        <w:t>:</w:t>
      </w:r>
    </w:p>
    <w:p w14:paraId="76EAEF4A" w14:textId="77777777" w:rsidR="006E6FC8" w:rsidRPr="006E6FC8" w:rsidRDefault="006E6FC8" w:rsidP="006E6FC8">
      <w:pPr>
        <w:numPr>
          <w:ilvl w:val="0"/>
          <w:numId w:val="8"/>
        </w:numPr>
      </w:pPr>
      <w:r w:rsidRPr="006E6FC8">
        <w:t>Si hubo diferencias no medidas (ej., exposición a otros flavivirus como Zika), podrían influir en la respuesta inmune.</w:t>
      </w:r>
    </w:p>
    <w:p w14:paraId="2DEAED15" w14:textId="77777777" w:rsidR="006E6FC8" w:rsidRPr="006E6FC8" w:rsidRDefault="006E6FC8" w:rsidP="006E6FC8">
      <w:r w:rsidRPr="006E6FC8">
        <w:pict w14:anchorId="5F43DC9E">
          <v:rect id="_x0000_i1076" style="width:0;height:.75pt" o:hralign="center" o:hrstd="t" o:hrnoshade="t" o:hr="t" fillcolor="#404040" stroked="f"/>
        </w:pict>
      </w:r>
    </w:p>
    <w:p w14:paraId="28961A91" w14:textId="77777777" w:rsidR="006E6FC8" w:rsidRPr="006E6FC8" w:rsidRDefault="006E6FC8" w:rsidP="006E6FC8">
      <w:r w:rsidRPr="006E6FC8">
        <w:rPr>
          <w:b/>
          <w:bCs/>
        </w:rPr>
        <w:t>2. Sesgo de Información (o de Medición)</w:t>
      </w:r>
    </w:p>
    <w:p w14:paraId="218601A6" w14:textId="77777777" w:rsidR="006E6FC8" w:rsidRPr="006E6FC8" w:rsidRDefault="006E6FC8" w:rsidP="006E6FC8">
      <w:r w:rsidRPr="006E6FC8">
        <w:rPr>
          <w:b/>
          <w:bCs/>
        </w:rPr>
        <w:t>Definición</w:t>
      </w:r>
      <w:r w:rsidRPr="006E6FC8">
        <w:t>: Ocurre cuando hay errores en la recolección o registro de datos, afectando la clasificación de los resultados.</w:t>
      </w:r>
    </w:p>
    <w:p w14:paraId="2CF9F008" w14:textId="77777777" w:rsidR="006E6FC8" w:rsidRPr="006E6FC8" w:rsidRDefault="006E6FC8" w:rsidP="006E6FC8">
      <w:r w:rsidRPr="006E6FC8">
        <w:rPr>
          <w:b/>
          <w:bCs/>
        </w:rPr>
        <w:t>Riesgo en este estudio</w:t>
      </w:r>
      <w:r w:rsidRPr="006E6FC8">
        <w:t>:</w:t>
      </w:r>
    </w:p>
    <w:p w14:paraId="0B7A3BA0" w14:textId="77777777" w:rsidR="006E6FC8" w:rsidRPr="006E6FC8" w:rsidRDefault="006E6FC8" w:rsidP="006E6FC8">
      <w:pPr>
        <w:numPr>
          <w:ilvl w:val="0"/>
          <w:numId w:val="9"/>
        </w:numPr>
      </w:pPr>
      <w:r w:rsidRPr="006E6FC8">
        <w:rPr>
          <w:b/>
          <w:bCs/>
        </w:rPr>
        <w:t>Bajo</w:t>
      </w:r>
      <w:r w:rsidRPr="006E6FC8">
        <w:t>, porque:</w:t>
      </w:r>
    </w:p>
    <w:p w14:paraId="6B4E1EFF" w14:textId="77777777" w:rsidR="006E6FC8" w:rsidRPr="006E6FC8" w:rsidRDefault="006E6FC8" w:rsidP="006E6FC8">
      <w:pPr>
        <w:numPr>
          <w:ilvl w:val="1"/>
          <w:numId w:val="9"/>
        </w:numPr>
      </w:pPr>
      <w:r w:rsidRPr="006E6FC8">
        <w:rPr>
          <w:b/>
          <w:bCs/>
        </w:rPr>
        <w:t>Doble ciego</w:t>
      </w:r>
      <w:r w:rsidRPr="006E6FC8">
        <w:t>: Ni participantes ni investigadores sabían quién recibió vacuna o placebo.</w:t>
      </w:r>
    </w:p>
    <w:p w14:paraId="2F080D7B" w14:textId="77777777" w:rsidR="006E6FC8" w:rsidRPr="006E6FC8" w:rsidRDefault="006E6FC8" w:rsidP="006E6FC8">
      <w:pPr>
        <w:numPr>
          <w:ilvl w:val="1"/>
          <w:numId w:val="9"/>
        </w:numPr>
      </w:pPr>
      <w:r w:rsidRPr="006E6FC8">
        <w:rPr>
          <w:b/>
          <w:bCs/>
        </w:rPr>
        <w:t>Confirmación objetiva</w:t>
      </w:r>
      <w:r w:rsidRPr="006E6FC8">
        <w:t>: Los casos de dengue se confirmaron con PCR, evitando diagnósticos subjetivos.</w:t>
      </w:r>
    </w:p>
    <w:p w14:paraId="62F9F070" w14:textId="77777777" w:rsidR="006E6FC8" w:rsidRPr="006E6FC8" w:rsidRDefault="006E6FC8" w:rsidP="006E6FC8">
      <w:r w:rsidRPr="006E6FC8">
        <w:rPr>
          <w:b/>
          <w:bCs/>
        </w:rPr>
        <w:t>Posible problema</w:t>
      </w:r>
      <w:r w:rsidRPr="006E6FC8">
        <w:t>:</w:t>
      </w:r>
    </w:p>
    <w:p w14:paraId="2989E0D7" w14:textId="77777777" w:rsidR="006E6FC8" w:rsidRPr="006E6FC8" w:rsidRDefault="006E6FC8" w:rsidP="006E6FC8">
      <w:pPr>
        <w:numPr>
          <w:ilvl w:val="0"/>
          <w:numId w:val="10"/>
        </w:numPr>
      </w:pPr>
      <w:r w:rsidRPr="006E6FC8">
        <w:rPr>
          <w:b/>
          <w:bCs/>
        </w:rPr>
        <w:t>Síntomas leves</w:t>
      </w:r>
      <w:r w:rsidRPr="006E6FC8">
        <w:t> podrían no reportarse igual en ambos grupos (ej., padres de niños pequeños podrían sobrestimar reacciones).</w:t>
      </w:r>
    </w:p>
    <w:p w14:paraId="29835E04" w14:textId="77777777" w:rsidR="006E6FC8" w:rsidRPr="006E6FC8" w:rsidRDefault="006E6FC8" w:rsidP="006E6FC8">
      <w:pPr>
        <w:numPr>
          <w:ilvl w:val="0"/>
          <w:numId w:val="10"/>
        </w:numPr>
      </w:pPr>
      <w:proofErr w:type="spellStart"/>
      <w:r w:rsidRPr="006E6FC8">
        <w:rPr>
          <w:b/>
          <w:bCs/>
        </w:rPr>
        <w:t>Rash</w:t>
      </w:r>
      <w:proofErr w:type="spellEnd"/>
      <w:r w:rsidRPr="006E6FC8">
        <w:rPr>
          <w:b/>
          <w:bCs/>
        </w:rPr>
        <w:t xml:space="preserve"> (erupción cutánea)</w:t>
      </w:r>
      <w:r w:rsidRPr="006E6FC8">
        <w:t xml:space="preserve">: Fue más frecuente en vacunados (22.5% vs. 4.2%), pero su registro dependía de </w:t>
      </w:r>
      <w:proofErr w:type="spellStart"/>
      <w:r w:rsidRPr="006E6FC8">
        <w:t>autoreporte</w:t>
      </w:r>
      <w:proofErr w:type="spellEnd"/>
      <w:r w:rsidRPr="006E6FC8">
        <w:t>, lo que podría subestimarse en el grupo placebo.</w:t>
      </w:r>
    </w:p>
    <w:p w14:paraId="2FBA84FD" w14:textId="77777777" w:rsidR="006E6FC8" w:rsidRPr="006E6FC8" w:rsidRDefault="006E6FC8" w:rsidP="006E6FC8">
      <w:r w:rsidRPr="006E6FC8">
        <w:pict w14:anchorId="49739208">
          <v:rect id="_x0000_i1077" style="width:0;height:.75pt" o:hralign="center" o:hrstd="t" o:hrnoshade="t" o:hr="t" fillcolor="#404040" stroked="f"/>
        </w:pict>
      </w:r>
    </w:p>
    <w:p w14:paraId="218CA6F8" w14:textId="77777777" w:rsidR="006E6FC8" w:rsidRPr="006E6FC8" w:rsidRDefault="006E6FC8" w:rsidP="006E6FC8">
      <w:r w:rsidRPr="006E6FC8">
        <w:rPr>
          <w:b/>
          <w:bCs/>
        </w:rPr>
        <w:t>3. Sesgo de Pérdida de Seguimiento</w:t>
      </w:r>
    </w:p>
    <w:p w14:paraId="2BEE2F64" w14:textId="77777777" w:rsidR="006E6FC8" w:rsidRPr="006E6FC8" w:rsidRDefault="006E6FC8" w:rsidP="006E6FC8">
      <w:r w:rsidRPr="006E6FC8">
        <w:rPr>
          <w:b/>
          <w:bCs/>
        </w:rPr>
        <w:lastRenderedPageBreak/>
        <w:t>Definición</w:t>
      </w:r>
      <w:r w:rsidRPr="006E6FC8">
        <w:t>: Ocurre cuando participantes abandonan el estudio, y sus datos no se incluyen en el análisis, alterando los resultados.</w:t>
      </w:r>
    </w:p>
    <w:p w14:paraId="6B9CEB1D" w14:textId="77777777" w:rsidR="006E6FC8" w:rsidRPr="006E6FC8" w:rsidRDefault="006E6FC8" w:rsidP="006E6FC8">
      <w:r w:rsidRPr="006E6FC8">
        <w:rPr>
          <w:b/>
          <w:bCs/>
        </w:rPr>
        <w:t>Riesgo en este estudio</w:t>
      </w:r>
      <w:r w:rsidRPr="006E6FC8">
        <w:t>:</w:t>
      </w:r>
    </w:p>
    <w:p w14:paraId="7DF4A4ED" w14:textId="77777777" w:rsidR="006E6FC8" w:rsidRPr="006E6FC8" w:rsidRDefault="006E6FC8" w:rsidP="006E6FC8">
      <w:pPr>
        <w:numPr>
          <w:ilvl w:val="0"/>
          <w:numId w:val="11"/>
        </w:numPr>
      </w:pPr>
      <w:r w:rsidRPr="006E6FC8">
        <w:rPr>
          <w:b/>
          <w:bCs/>
        </w:rPr>
        <w:t>Moderado</w:t>
      </w:r>
      <w:r w:rsidRPr="006E6FC8">
        <w:t>, porque:</w:t>
      </w:r>
    </w:p>
    <w:p w14:paraId="2D681FCB" w14:textId="77777777" w:rsidR="006E6FC8" w:rsidRPr="006E6FC8" w:rsidRDefault="006E6FC8" w:rsidP="006E6FC8">
      <w:pPr>
        <w:numPr>
          <w:ilvl w:val="1"/>
          <w:numId w:val="11"/>
        </w:numPr>
      </w:pPr>
      <w:r w:rsidRPr="006E6FC8">
        <w:t>44 participantes fueron excluidos del análisis </w:t>
      </w:r>
      <w:proofErr w:type="gramStart"/>
      <w:r w:rsidRPr="006E6FC8">
        <w:rPr>
          <w:i/>
          <w:iCs/>
        </w:rPr>
        <w:t>per protocolo</w:t>
      </w:r>
      <w:proofErr w:type="gramEnd"/>
      <w:r w:rsidRPr="006E6FC8">
        <w:t> (26 por falta de consentimiento, 6 por embarazo, etc.).</w:t>
      </w:r>
    </w:p>
    <w:p w14:paraId="0E9886CA" w14:textId="77777777" w:rsidR="006E6FC8" w:rsidRPr="006E6FC8" w:rsidRDefault="006E6FC8" w:rsidP="006E6FC8">
      <w:pPr>
        <w:numPr>
          <w:ilvl w:val="1"/>
          <w:numId w:val="11"/>
        </w:numPr>
      </w:pPr>
      <w:r w:rsidRPr="006E6FC8">
        <w:t>No se menciona un análisis por </w:t>
      </w:r>
      <w:r w:rsidRPr="006E6FC8">
        <w:rPr>
          <w:b/>
          <w:bCs/>
        </w:rPr>
        <w:t>intención de tratar (ITT)</w:t>
      </w:r>
      <w:r w:rsidRPr="006E6FC8">
        <w:t>, que incluiría a todos los aleatorizados.</w:t>
      </w:r>
    </w:p>
    <w:p w14:paraId="0C77B745" w14:textId="77777777" w:rsidR="006E6FC8" w:rsidRPr="006E6FC8" w:rsidRDefault="006E6FC8" w:rsidP="006E6FC8">
      <w:r w:rsidRPr="006E6FC8">
        <w:rPr>
          <w:b/>
          <w:bCs/>
        </w:rPr>
        <w:t>Consecuencia</w:t>
      </w:r>
      <w:r w:rsidRPr="006E6FC8">
        <w:t>:</w:t>
      </w:r>
    </w:p>
    <w:p w14:paraId="67BE9B45" w14:textId="77777777" w:rsidR="006E6FC8" w:rsidRPr="006E6FC8" w:rsidRDefault="006E6FC8" w:rsidP="006E6FC8">
      <w:pPr>
        <w:numPr>
          <w:ilvl w:val="0"/>
          <w:numId w:val="12"/>
        </w:numPr>
      </w:pPr>
      <w:r w:rsidRPr="006E6FC8">
        <w:t>Si los abandonos fueron por efectos adversos, la seguridad podría estar subestimada.</w:t>
      </w:r>
    </w:p>
    <w:p w14:paraId="165791AB" w14:textId="77777777" w:rsidR="006E6FC8" w:rsidRPr="006E6FC8" w:rsidRDefault="006E6FC8" w:rsidP="006E6FC8">
      <w:r w:rsidRPr="006E6FC8">
        <w:pict w14:anchorId="71B627AD">
          <v:rect id="_x0000_i1078" style="width:0;height:.75pt" o:hralign="center" o:hrstd="t" o:hrnoshade="t" o:hr="t" fillcolor="#404040" stroked="f"/>
        </w:pict>
      </w:r>
    </w:p>
    <w:p w14:paraId="387BFA4E" w14:textId="77777777" w:rsidR="006E6FC8" w:rsidRPr="006E6FC8" w:rsidRDefault="006E6FC8" w:rsidP="006E6FC8">
      <w:r w:rsidRPr="006E6FC8">
        <w:rPr>
          <w:b/>
          <w:bCs/>
        </w:rPr>
        <w:t>4. Sesgo de Confusión</w:t>
      </w:r>
    </w:p>
    <w:p w14:paraId="073E4A1F" w14:textId="77777777" w:rsidR="006E6FC8" w:rsidRPr="006E6FC8" w:rsidRDefault="006E6FC8" w:rsidP="006E6FC8">
      <w:r w:rsidRPr="006E6FC8">
        <w:rPr>
          <w:b/>
          <w:bCs/>
        </w:rPr>
        <w:t>Definición</w:t>
      </w:r>
      <w:r w:rsidRPr="006E6FC8">
        <w:t>: Ocurre cuando una variable externa afecta tanto a la exposición (vacuna) como al resultado (dengue).</w:t>
      </w:r>
    </w:p>
    <w:p w14:paraId="7BAE3B2F" w14:textId="77777777" w:rsidR="006E6FC8" w:rsidRPr="006E6FC8" w:rsidRDefault="006E6FC8" w:rsidP="006E6FC8">
      <w:r w:rsidRPr="006E6FC8">
        <w:rPr>
          <w:b/>
          <w:bCs/>
        </w:rPr>
        <w:t>Riesgo en este estudio</w:t>
      </w:r>
      <w:r w:rsidRPr="006E6FC8">
        <w:t>:</w:t>
      </w:r>
    </w:p>
    <w:p w14:paraId="6621758E" w14:textId="77777777" w:rsidR="006E6FC8" w:rsidRPr="006E6FC8" w:rsidRDefault="006E6FC8" w:rsidP="006E6FC8">
      <w:pPr>
        <w:numPr>
          <w:ilvl w:val="0"/>
          <w:numId w:val="13"/>
        </w:numPr>
      </w:pPr>
      <w:r w:rsidRPr="006E6FC8">
        <w:rPr>
          <w:b/>
          <w:bCs/>
        </w:rPr>
        <w:t>Moderado</w:t>
      </w:r>
      <w:r w:rsidRPr="006E6FC8">
        <w:t>, porque:</w:t>
      </w:r>
    </w:p>
    <w:p w14:paraId="2CA7AF9D" w14:textId="77777777" w:rsidR="006E6FC8" w:rsidRPr="006E6FC8" w:rsidRDefault="006E6FC8" w:rsidP="006E6FC8">
      <w:pPr>
        <w:numPr>
          <w:ilvl w:val="1"/>
          <w:numId w:val="13"/>
        </w:numPr>
      </w:pPr>
      <w:r w:rsidRPr="006E6FC8">
        <w:rPr>
          <w:b/>
          <w:bCs/>
        </w:rPr>
        <w:t>Exposición previa a otros flavivirus</w:t>
      </w:r>
      <w:r w:rsidRPr="006E6FC8">
        <w:t> (Zika, fiebre amarilla) podría influir en la respuesta inmune, pero no se midió.</w:t>
      </w:r>
    </w:p>
    <w:p w14:paraId="3808EA82" w14:textId="77777777" w:rsidR="006E6FC8" w:rsidRPr="006E6FC8" w:rsidRDefault="006E6FC8" w:rsidP="006E6FC8">
      <w:pPr>
        <w:numPr>
          <w:ilvl w:val="1"/>
          <w:numId w:val="13"/>
        </w:numPr>
      </w:pPr>
      <w:r w:rsidRPr="006E6FC8">
        <w:rPr>
          <w:b/>
          <w:bCs/>
        </w:rPr>
        <w:t>Circulación variable de serotipos</w:t>
      </w:r>
      <w:r w:rsidRPr="006E6FC8">
        <w:t>: DENV-3 y DENV-4 no aparecieron, lo que limita la evaluación de eficacia contra ellos.</w:t>
      </w:r>
    </w:p>
    <w:p w14:paraId="49195A36" w14:textId="77777777" w:rsidR="006E6FC8" w:rsidRPr="006E6FC8" w:rsidRDefault="006E6FC8" w:rsidP="006E6FC8">
      <w:r w:rsidRPr="006E6FC8">
        <w:rPr>
          <w:b/>
          <w:bCs/>
        </w:rPr>
        <w:t>Mitigación</w:t>
      </w:r>
      <w:r w:rsidRPr="006E6FC8">
        <w:t>:</w:t>
      </w:r>
    </w:p>
    <w:p w14:paraId="6CA6B36A" w14:textId="77777777" w:rsidR="006E6FC8" w:rsidRPr="006E6FC8" w:rsidRDefault="006E6FC8" w:rsidP="006E6FC8">
      <w:pPr>
        <w:numPr>
          <w:ilvl w:val="0"/>
          <w:numId w:val="14"/>
        </w:numPr>
      </w:pPr>
      <w:r w:rsidRPr="006E6FC8">
        <w:t>Se estratificó por </w:t>
      </w:r>
      <w:proofErr w:type="spellStart"/>
      <w:r w:rsidRPr="006E6FC8">
        <w:rPr>
          <w:b/>
          <w:bCs/>
        </w:rPr>
        <w:t>serostatus</w:t>
      </w:r>
      <w:proofErr w:type="spellEnd"/>
      <w:r w:rsidRPr="006E6FC8">
        <w:rPr>
          <w:b/>
          <w:bCs/>
        </w:rPr>
        <w:t xml:space="preserve"> previo al dengue</w:t>
      </w:r>
      <w:r w:rsidRPr="006E6FC8">
        <w:t>, pero no por otros virus.</w:t>
      </w:r>
    </w:p>
    <w:p w14:paraId="523DD5A1" w14:textId="77777777" w:rsidR="006E6FC8" w:rsidRPr="006E6FC8" w:rsidRDefault="006E6FC8" w:rsidP="006E6FC8">
      <w:r w:rsidRPr="006E6FC8">
        <w:pict w14:anchorId="741D11D4">
          <v:rect id="_x0000_i1079" style="width:0;height:.75pt" o:hralign="center" o:hrstd="t" o:hrnoshade="t" o:hr="t" fillcolor="#404040" stroked="f"/>
        </w:pict>
      </w:r>
    </w:p>
    <w:p w14:paraId="29395F86" w14:textId="77777777" w:rsidR="006E6FC8" w:rsidRPr="006E6FC8" w:rsidRDefault="006E6FC8" w:rsidP="006E6FC8">
      <w:r w:rsidRPr="006E6FC8">
        <w:rPr>
          <w:b/>
          <w:bCs/>
        </w:rPr>
        <w:t>5. Sesgo de Temporalidad (o de Tiempo)</w:t>
      </w:r>
    </w:p>
    <w:p w14:paraId="19126FF3" w14:textId="77777777" w:rsidR="006E6FC8" w:rsidRPr="006E6FC8" w:rsidRDefault="006E6FC8" w:rsidP="006E6FC8">
      <w:r w:rsidRPr="006E6FC8">
        <w:rPr>
          <w:b/>
          <w:bCs/>
        </w:rPr>
        <w:t>Definición</w:t>
      </w:r>
      <w:r w:rsidRPr="006E6FC8">
        <w:t>: Ocurre cuando el momento de la exposición y el resultado no están claramente definidos.</w:t>
      </w:r>
    </w:p>
    <w:p w14:paraId="735D6FB4" w14:textId="77777777" w:rsidR="006E6FC8" w:rsidRPr="006E6FC8" w:rsidRDefault="006E6FC8" w:rsidP="006E6FC8">
      <w:r w:rsidRPr="006E6FC8">
        <w:rPr>
          <w:b/>
          <w:bCs/>
        </w:rPr>
        <w:t>Riesgo en este estudio</w:t>
      </w:r>
      <w:r w:rsidRPr="006E6FC8">
        <w:t>:</w:t>
      </w:r>
    </w:p>
    <w:p w14:paraId="62932F98" w14:textId="77777777" w:rsidR="006E6FC8" w:rsidRPr="006E6FC8" w:rsidRDefault="006E6FC8" w:rsidP="006E6FC8">
      <w:pPr>
        <w:numPr>
          <w:ilvl w:val="0"/>
          <w:numId w:val="15"/>
        </w:numPr>
      </w:pPr>
      <w:r w:rsidRPr="006E6FC8">
        <w:rPr>
          <w:b/>
          <w:bCs/>
        </w:rPr>
        <w:t>Bajo</w:t>
      </w:r>
      <w:r w:rsidRPr="006E6FC8">
        <w:t>, porque:</w:t>
      </w:r>
    </w:p>
    <w:p w14:paraId="4395C6F1" w14:textId="77777777" w:rsidR="006E6FC8" w:rsidRPr="006E6FC8" w:rsidRDefault="006E6FC8" w:rsidP="006E6FC8">
      <w:pPr>
        <w:numPr>
          <w:ilvl w:val="1"/>
          <w:numId w:val="15"/>
        </w:numPr>
      </w:pPr>
      <w:r w:rsidRPr="006E6FC8">
        <w:t>El seguimiento fue </w:t>
      </w:r>
      <w:r w:rsidRPr="006E6FC8">
        <w:rPr>
          <w:b/>
          <w:bCs/>
        </w:rPr>
        <w:t>prospectivo</w:t>
      </w:r>
      <w:r w:rsidRPr="006E6FC8">
        <w:t> (2 años).</w:t>
      </w:r>
    </w:p>
    <w:p w14:paraId="63FDD487" w14:textId="77777777" w:rsidR="006E6FC8" w:rsidRPr="006E6FC8" w:rsidRDefault="006E6FC8" w:rsidP="006E6FC8">
      <w:pPr>
        <w:numPr>
          <w:ilvl w:val="1"/>
          <w:numId w:val="15"/>
        </w:numPr>
      </w:pPr>
      <w:r w:rsidRPr="006E6FC8">
        <w:lastRenderedPageBreak/>
        <w:t>Los casos de dengue se confirmaron </w:t>
      </w:r>
      <w:r w:rsidRPr="006E6FC8">
        <w:rPr>
          <w:b/>
          <w:bCs/>
        </w:rPr>
        <w:t xml:space="preserve">después de 28 días </w:t>
      </w:r>
      <w:proofErr w:type="spellStart"/>
      <w:r w:rsidRPr="006E6FC8">
        <w:rPr>
          <w:b/>
          <w:bCs/>
        </w:rPr>
        <w:t>post-vacunación</w:t>
      </w:r>
      <w:proofErr w:type="spellEnd"/>
      <w:r w:rsidRPr="006E6FC8">
        <w:t>, evitando confusiones con infecciones previas.</w:t>
      </w:r>
    </w:p>
    <w:p w14:paraId="1BCF3C1A" w14:textId="77777777" w:rsidR="006E6FC8" w:rsidRPr="006E6FC8" w:rsidRDefault="006E6FC8" w:rsidP="006E6FC8">
      <w:r w:rsidRPr="006E6FC8">
        <w:rPr>
          <w:b/>
          <w:bCs/>
        </w:rPr>
        <w:t>Posible problema</w:t>
      </w:r>
      <w:r w:rsidRPr="006E6FC8">
        <w:t>:</w:t>
      </w:r>
    </w:p>
    <w:p w14:paraId="78416AFD" w14:textId="77777777" w:rsidR="006E6FC8" w:rsidRPr="006E6FC8" w:rsidRDefault="006E6FC8" w:rsidP="006E6FC8">
      <w:pPr>
        <w:numPr>
          <w:ilvl w:val="0"/>
          <w:numId w:val="16"/>
        </w:numPr>
      </w:pPr>
      <w:r w:rsidRPr="006E6FC8">
        <w:t>Si hubo infecciones asintomáticas no detectadas, podrían afectar la inmunidad posterior.</w:t>
      </w:r>
    </w:p>
    <w:p w14:paraId="00B258EF" w14:textId="77777777" w:rsidR="006E6FC8" w:rsidRPr="006E6FC8" w:rsidRDefault="006E6FC8" w:rsidP="006E6FC8">
      <w:r w:rsidRPr="006E6FC8">
        <w:pict w14:anchorId="1A41E722">
          <v:rect id="_x0000_i1080" style="width:0;height:.75pt" o:hralign="center" o:hrstd="t" o:hrnoshade="t" o:hr="t" fillcolor="#404040" stroked="f"/>
        </w:pict>
      </w:r>
    </w:p>
    <w:p w14:paraId="550A8763" w14:textId="77777777" w:rsidR="006E6FC8" w:rsidRPr="006E6FC8" w:rsidRDefault="006E6FC8" w:rsidP="006E6FC8">
      <w:r w:rsidRPr="006E6FC8">
        <w:rPr>
          <w:b/>
          <w:bCs/>
        </w:rPr>
        <w:t>6. Sesgo de Publicación (No aplica aquí, pero es relevante en metaanálisis)</w:t>
      </w:r>
    </w:p>
    <w:p w14:paraId="0FF8D482" w14:textId="77777777" w:rsidR="006E6FC8" w:rsidRPr="006E6FC8" w:rsidRDefault="006E6FC8" w:rsidP="006E6FC8">
      <w:r w:rsidRPr="006E6FC8">
        <w:rPr>
          <w:b/>
          <w:bCs/>
        </w:rPr>
        <w:t>Definición</w:t>
      </w:r>
      <w:r w:rsidRPr="006E6FC8">
        <w:t>: Ocurre cuando solo se publican resultados positivos, omitiendo estudios con hallazgos neutros o negativos.</w:t>
      </w:r>
    </w:p>
    <w:p w14:paraId="57FD419D" w14:textId="77777777" w:rsidR="006E6FC8" w:rsidRPr="006E6FC8" w:rsidRDefault="006E6FC8" w:rsidP="006E6FC8">
      <w:r w:rsidRPr="006E6FC8">
        <w:rPr>
          <w:b/>
          <w:bCs/>
        </w:rPr>
        <w:t>En este caso</w:t>
      </w:r>
      <w:r w:rsidRPr="006E6FC8">
        <w:t>:</w:t>
      </w:r>
    </w:p>
    <w:p w14:paraId="29CAFB54" w14:textId="77777777" w:rsidR="006E6FC8" w:rsidRPr="006E6FC8" w:rsidRDefault="006E6FC8" w:rsidP="006E6FC8">
      <w:pPr>
        <w:numPr>
          <w:ilvl w:val="0"/>
          <w:numId w:val="17"/>
        </w:numPr>
      </w:pPr>
      <w:r w:rsidRPr="006E6FC8">
        <w:t>No aplica porque es un solo estudio, pero es un sesgo común en revisiones sistemáticas.</w:t>
      </w:r>
    </w:p>
    <w:p w14:paraId="6B189071" w14:textId="77777777" w:rsidR="006E6FC8" w:rsidRPr="006E6FC8" w:rsidRDefault="006E6FC8" w:rsidP="006E6FC8">
      <w:r w:rsidRPr="006E6FC8">
        <w:pict w14:anchorId="6D4CB33A">
          <v:rect id="_x0000_i1081" style="width:0;height:.75pt" o:hralign="center" o:hrstd="t" o:hrnoshade="t" o:hr="t" fillcolor="#404040" stroked="f"/>
        </w:pict>
      </w:r>
    </w:p>
    <w:p w14:paraId="286A3178" w14:textId="77777777" w:rsidR="006E6FC8" w:rsidRPr="006E6FC8" w:rsidRDefault="006E6FC8" w:rsidP="006E6FC8">
      <w:r w:rsidRPr="006E6FC8">
        <w:rPr>
          <w:b/>
          <w:bCs/>
        </w:rPr>
        <w:t>Conclusión</w:t>
      </w:r>
    </w:p>
    <w:p w14:paraId="0CF88A29" w14:textId="77777777" w:rsidR="006E6FC8" w:rsidRPr="006E6FC8" w:rsidRDefault="006E6FC8" w:rsidP="006E6FC8">
      <w:r w:rsidRPr="006E6FC8">
        <w:t xml:space="preserve">El estudio es </w:t>
      </w:r>
      <w:proofErr w:type="spellStart"/>
      <w:r w:rsidRPr="006E6FC8">
        <w:t>metodológamente</w:t>
      </w:r>
      <w:proofErr w:type="spellEnd"/>
      <w:r w:rsidRPr="006E6FC8">
        <w:t xml:space="preserve"> sólido, pero tiene limitaciones:</w:t>
      </w:r>
      <w:r w:rsidRPr="006E6FC8">
        <w:br/>
      </w:r>
      <w:r w:rsidRPr="006E6FC8">
        <w:rPr>
          <w:rFonts w:ascii="Segoe UI Emoji" w:hAnsi="Segoe UI Emoji" w:cs="Segoe UI Emoji"/>
        </w:rPr>
        <w:t>✅</w:t>
      </w:r>
      <w:r w:rsidRPr="006E6FC8">
        <w:rPr>
          <w:rFonts w:ascii="Aptos" w:hAnsi="Aptos" w:cs="Aptos"/>
        </w:rPr>
        <w:t> </w:t>
      </w:r>
      <w:r w:rsidRPr="006E6FC8">
        <w:rPr>
          <w:b/>
          <w:bCs/>
        </w:rPr>
        <w:t>Fortalezas</w:t>
      </w:r>
      <w:r w:rsidRPr="006E6FC8">
        <w:t>: Aleatorización, doble ciego, confirmación por PCR.</w:t>
      </w:r>
      <w:r w:rsidRPr="006E6FC8">
        <w:br/>
      </w:r>
      <w:r w:rsidRPr="006E6FC8">
        <w:rPr>
          <w:rFonts w:ascii="Segoe UI Emoji" w:hAnsi="Segoe UI Emoji" w:cs="Segoe UI Emoji"/>
        </w:rPr>
        <w:t>⚠️</w:t>
      </w:r>
      <w:r w:rsidRPr="006E6FC8">
        <w:t> </w:t>
      </w:r>
      <w:r w:rsidRPr="006E6FC8">
        <w:rPr>
          <w:b/>
          <w:bCs/>
        </w:rPr>
        <w:t>Debilidades</w:t>
      </w:r>
      <w:r w:rsidRPr="006E6FC8">
        <w:t>:</w:t>
      </w:r>
    </w:p>
    <w:p w14:paraId="35D8F7E6" w14:textId="77777777" w:rsidR="006E6FC8" w:rsidRPr="006E6FC8" w:rsidRDefault="006E6FC8" w:rsidP="006E6FC8">
      <w:pPr>
        <w:numPr>
          <w:ilvl w:val="0"/>
          <w:numId w:val="18"/>
        </w:numPr>
      </w:pPr>
      <w:r w:rsidRPr="006E6FC8">
        <w:t>Falta de datos a </w:t>
      </w:r>
      <w:r w:rsidRPr="006E6FC8">
        <w:rPr>
          <w:b/>
          <w:bCs/>
        </w:rPr>
        <w:t>largo plazo</w:t>
      </w:r>
      <w:r w:rsidRPr="006E6FC8">
        <w:t> (solo 2 años).</w:t>
      </w:r>
    </w:p>
    <w:p w14:paraId="5FAB0473" w14:textId="77777777" w:rsidR="006E6FC8" w:rsidRPr="006E6FC8" w:rsidRDefault="006E6FC8" w:rsidP="006E6FC8">
      <w:pPr>
        <w:numPr>
          <w:ilvl w:val="0"/>
          <w:numId w:val="18"/>
        </w:numPr>
      </w:pPr>
      <w:r w:rsidRPr="006E6FC8">
        <w:t>No evaluación de </w:t>
      </w:r>
      <w:r w:rsidRPr="006E6FC8">
        <w:rPr>
          <w:b/>
          <w:bCs/>
        </w:rPr>
        <w:t>DENV-3 y DENV-4</w:t>
      </w:r>
      <w:r w:rsidRPr="006E6FC8">
        <w:t>.</w:t>
      </w:r>
    </w:p>
    <w:p w14:paraId="3ED69E12" w14:textId="77777777" w:rsidR="006E6FC8" w:rsidRPr="006E6FC8" w:rsidRDefault="006E6FC8" w:rsidP="006E6FC8">
      <w:pPr>
        <w:numPr>
          <w:ilvl w:val="0"/>
          <w:numId w:val="18"/>
        </w:numPr>
      </w:pPr>
      <w:r w:rsidRPr="006E6FC8">
        <w:t>Posible </w:t>
      </w:r>
      <w:r w:rsidRPr="006E6FC8">
        <w:rPr>
          <w:b/>
          <w:bCs/>
        </w:rPr>
        <w:t>confusión por exposición a otros flavivirus</w:t>
      </w:r>
      <w:r w:rsidRPr="006E6FC8">
        <w:t>.</w:t>
      </w:r>
    </w:p>
    <w:p w14:paraId="4A7B00C4" w14:textId="77777777" w:rsidR="006E6FC8" w:rsidRPr="006E6FC8" w:rsidRDefault="006E6FC8" w:rsidP="006E6FC8">
      <w:r w:rsidRPr="006E6FC8">
        <w:rPr>
          <w:b/>
          <w:bCs/>
        </w:rPr>
        <w:t>Recomendación</w:t>
      </w:r>
      <w:r w:rsidRPr="006E6FC8">
        <w:t>:</w:t>
      </w:r>
    </w:p>
    <w:p w14:paraId="6BD92C14" w14:textId="77777777" w:rsidR="006E6FC8" w:rsidRPr="006E6FC8" w:rsidRDefault="006E6FC8" w:rsidP="006E6FC8">
      <w:pPr>
        <w:numPr>
          <w:ilvl w:val="0"/>
          <w:numId w:val="19"/>
        </w:numPr>
      </w:pPr>
      <w:r w:rsidRPr="006E6FC8">
        <w:t>Esperar los resultados a </w:t>
      </w:r>
      <w:r w:rsidRPr="006E6FC8">
        <w:rPr>
          <w:b/>
          <w:bCs/>
        </w:rPr>
        <w:t>5 años</w:t>
      </w:r>
      <w:r w:rsidRPr="006E6FC8">
        <w:t> para evaluar eficacia duradera.</w:t>
      </w:r>
    </w:p>
    <w:p w14:paraId="057CE30C" w14:textId="77777777" w:rsidR="006E6FC8" w:rsidRPr="006E6FC8" w:rsidRDefault="006E6FC8" w:rsidP="006E6FC8">
      <w:pPr>
        <w:numPr>
          <w:ilvl w:val="0"/>
          <w:numId w:val="19"/>
        </w:numPr>
      </w:pPr>
      <w:r w:rsidRPr="006E6FC8">
        <w:t>Estudios en regiones con circulación de </w:t>
      </w:r>
      <w:r w:rsidRPr="006E6FC8">
        <w:rPr>
          <w:b/>
          <w:bCs/>
        </w:rPr>
        <w:t>otros serotipos</w:t>
      </w:r>
      <w:r w:rsidRPr="006E6FC8">
        <w:t>.</w:t>
      </w:r>
    </w:p>
    <w:p w14:paraId="6088E43C" w14:textId="77777777" w:rsidR="00B45C04" w:rsidRDefault="00B45C04"/>
    <w:p w14:paraId="11E48955" w14:textId="77777777" w:rsidR="00ED4D3A" w:rsidRDefault="00ED4D3A"/>
    <w:p w14:paraId="3744AD74" w14:textId="77777777" w:rsidR="00ED4D3A" w:rsidRDefault="00ED4D3A"/>
    <w:p w14:paraId="1E3B6B5B" w14:textId="77777777" w:rsidR="00ED4D3A" w:rsidRDefault="00ED4D3A"/>
    <w:p w14:paraId="5077E843" w14:textId="77777777" w:rsidR="00ED4D3A" w:rsidRDefault="00ED4D3A"/>
    <w:p w14:paraId="266FDDF4" w14:textId="77777777" w:rsidR="00ED4D3A" w:rsidRDefault="00ED4D3A"/>
    <w:p w14:paraId="73238888" w14:textId="77777777" w:rsidR="00ED4D3A" w:rsidRDefault="00ED4D3A"/>
    <w:p w14:paraId="2C7EBE04" w14:textId="77777777" w:rsidR="00ED4D3A" w:rsidRPr="00ED4D3A" w:rsidRDefault="00ED4D3A" w:rsidP="00ED4D3A">
      <w:r w:rsidRPr="00ED4D3A">
        <w:rPr>
          <w:b/>
          <w:bCs/>
        </w:rPr>
        <w:lastRenderedPageBreak/>
        <w:t>Respuesta para el artículo de Bengolea et al. (2024):</w:t>
      </w:r>
    </w:p>
    <w:p w14:paraId="154C57CD" w14:textId="77777777" w:rsidR="00ED4D3A" w:rsidRPr="00ED4D3A" w:rsidRDefault="00ED4D3A" w:rsidP="00ED4D3A">
      <w:r w:rsidRPr="00ED4D3A">
        <w:pict w14:anchorId="2C045A58">
          <v:rect id="_x0000_i1143" style="width:0;height:.75pt" o:hralign="center" o:hrstd="t" o:hrnoshade="t" o:hr="t" fillcolor="#404040" stroked="f"/>
        </w:pict>
      </w:r>
    </w:p>
    <w:p w14:paraId="2CD11DBA" w14:textId="77777777" w:rsidR="00ED4D3A" w:rsidRPr="00ED4D3A" w:rsidRDefault="00ED4D3A" w:rsidP="00ED4D3A">
      <w:r w:rsidRPr="00ED4D3A">
        <w:rPr>
          <w:b/>
          <w:bCs/>
        </w:rPr>
        <w:t>1. Revista de publicación</w:t>
      </w:r>
    </w:p>
    <w:p w14:paraId="6D6E42A2" w14:textId="77777777" w:rsidR="00ED4D3A" w:rsidRPr="00ED4D3A" w:rsidRDefault="00ED4D3A" w:rsidP="00ED4D3A">
      <w:r w:rsidRPr="00ED4D3A">
        <w:t>El artículo está publicado en </w:t>
      </w:r>
      <w:r w:rsidRPr="00ED4D3A">
        <w:rPr>
          <w:b/>
          <w:bCs/>
        </w:rPr>
        <w:t>MEDICINA (Buenos Aires)</w:t>
      </w:r>
      <w:r w:rsidRPr="00ED4D3A">
        <w:t>, una revista argentina especializada en medicina clínica y salud pública.</w:t>
      </w:r>
    </w:p>
    <w:p w14:paraId="39FF276E" w14:textId="77777777" w:rsidR="00ED4D3A" w:rsidRPr="00ED4D3A" w:rsidRDefault="00ED4D3A" w:rsidP="00ED4D3A">
      <w:r w:rsidRPr="00ED4D3A">
        <w:rPr>
          <w:b/>
          <w:bCs/>
        </w:rPr>
        <w:t>2. Factor de impacto de la revista</w:t>
      </w:r>
    </w:p>
    <w:p w14:paraId="0C987411" w14:textId="77777777" w:rsidR="00ED4D3A" w:rsidRPr="00ED4D3A" w:rsidRDefault="00ED4D3A" w:rsidP="00ED4D3A">
      <w:r w:rsidRPr="00ED4D3A">
        <w:t>El factor de impacto de </w:t>
      </w:r>
      <w:r w:rsidRPr="00ED4D3A">
        <w:rPr>
          <w:i/>
          <w:iCs/>
        </w:rPr>
        <w:t>MEDICINA (Buenos Aires)</w:t>
      </w:r>
      <w:r w:rsidRPr="00ED4D3A">
        <w:t xml:space="preserve"> no está especificado en el artículo, pero según índices como </w:t>
      </w:r>
      <w:proofErr w:type="spellStart"/>
      <w:r w:rsidRPr="00ED4D3A">
        <w:t>SCImago</w:t>
      </w:r>
      <w:proofErr w:type="spellEnd"/>
      <w:r w:rsidRPr="00ED4D3A">
        <w:t xml:space="preserve"> o </w:t>
      </w:r>
      <w:proofErr w:type="spellStart"/>
      <w:r w:rsidRPr="00ED4D3A">
        <w:t>Latindex</w:t>
      </w:r>
      <w:proofErr w:type="spellEnd"/>
      <w:r w:rsidRPr="00ED4D3A">
        <w:t xml:space="preserve"> (para revistas latinoamericanas), su impacto suele ser </w:t>
      </w:r>
      <w:r w:rsidRPr="00ED4D3A">
        <w:rPr>
          <w:b/>
          <w:bCs/>
        </w:rPr>
        <w:t>moderado</w:t>
      </w:r>
      <w:r w:rsidRPr="00ED4D3A">
        <w:t>, enfocado en audiencias regionales.</w:t>
      </w:r>
    </w:p>
    <w:p w14:paraId="4FA96021" w14:textId="77777777" w:rsidR="00ED4D3A" w:rsidRPr="00ED4D3A" w:rsidRDefault="00ED4D3A" w:rsidP="00ED4D3A">
      <w:r w:rsidRPr="00ED4D3A">
        <w:pict w14:anchorId="3E0ABBA9">
          <v:rect id="_x0000_i1144" style="width:0;height:.75pt" o:hralign="center" o:hrstd="t" o:hrnoshade="t" o:hr="t" fillcolor="#404040" stroked="f"/>
        </w:pict>
      </w:r>
    </w:p>
    <w:p w14:paraId="2FD9B56B" w14:textId="77777777" w:rsidR="00ED4D3A" w:rsidRPr="00ED4D3A" w:rsidRDefault="00ED4D3A" w:rsidP="00ED4D3A">
      <w:r w:rsidRPr="00ED4D3A">
        <w:rPr>
          <w:b/>
          <w:bCs/>
        </w:rPr>
        <w:t>3. Objetivo</w:t>
      </w:r>
    </w:p>
    <w:p w14:paraId="4E11A522" w14:textId="77777777" w:rsidR="00ED4D3A" w:rsidRDefault="00ED4D3A" w:rsidP="00ED4D3A">
      <w:r w:rsidRPr="00ED4D3A">
        <w:t>Evaluar la </w:t>
      </w:r>
      <w:r w:rsidRPr="00ED4D3A">
        <w:rPr>
          <w:b/>
          <w:bCs/>
        </w:rPr>
        <w:t>efectividad y seguridad</w:t>
      </w:r>
      <w:r w:rsidRPr="00ED4D3A">
        <w:t> de la vacuna tetravalente TAK-003 contra el dengue en poblaciones sanas (niños y adultos), mediante una revisión sistemática y metaanálisis, con énfasis en el contexto epidemiológico de Argentina.</w:t>
      </w:r>
    </w:p>
    <w:p w14:paraId="505E4C32" w14:textId="320151D2" w:rsidR="00ED4D3A" w:rsidRPr="00ED4D3A" w:rsidRDefault="00ED4D3A" w:rsidP="00ED4D3A">
      <w:r w:rsidRPr="00ED4D3A">
        <w:rPr>
          <w:highlight w:val="yellow"/>
        </w:rPr>
        <w:t>Realizar una revisión sistemática para evaluar efectividad y seguridad de la TAK-003</w:t>
      </w:r>
    </w:p>
    <w:p w14:paraId="15F8EC56" w14:textId="77777777" w:rsidR="00ED4D3A" w:rsidRPr="00ED4D3A" w:rsidRDefault="00ED4D3A" w:rsidP="00ED4D3A">
      <w:r w:rsidRPr="00ED4D3A">
        <w:pict w14:anchorId="3CCE0621">
          <v:rect id="_x0000_i1145" style="width:0;height:.75pt" o:hralign="center" o:hrstd="t" o:hrnoshade="t" o:hr="t" fillcolor="#404040" stroked="f"/>
        </w:pict>
      </w:r>
    </w:p>
    <w:p w14:paraId="098F50B3" w14:textId="77777777" w:rsidR="00ED4D3A" w:rsidRPr="00ED4D3A" w:rsidRDefault="00ED4D3A" w:rsidP="00ED4D3A">
      <w:r w:rsidRPr="00ED4D3A">
        <w:rPr>
          <w:b/>
          <w:bCs/>
        </w:rPr>
        <w:t>4. Diseño del estudio</w:t>
      </w:r>
    </w:p>
    <w:p w14:paraId="5A179202" w14:textId="77777777" w:rsidR="00ED4D3A" w:rsidRPr="00ED4D3A" w:rsidRDefault="00ED4D3A" w:rsidP="00ED4D3A">
      <w:pPr>
        <w:numPr>
          <w:ilvl w:val="0"/>
          <w:numId w:val="20"/>
        </w:numPr>
      </w:pPr>
      <w:r w:rsidRPr="00ED4D3A">
        <w:rPr>
          <w:b/>
          <w:bCs/>
        </w:rPr>
        <w:t>Tipo de estudio</w:t>
      </w:r>
      <w:r w:rsidRPr="00ED4D3A">
        <w:t>: Revisión sistemática con metaanálisis de ensayos clínicos aleatorizados (ECA).</w:t>
      </w:r>
    </w:p>
    <w:p w14:paraId="55492C4B" w14:textId="77777777" w:rsidR="00ED4D3A" w:rsidRPr="00ED4D3A" w:rsidRDefault="00ED4D3A" w:rsidP="00ED4D3A">
      <w:pPr>
        <w:numPr>
          <w:ilvl w:val="0"/>
          <w:numId w:val="20"/>
        </w:numPr>
      </w:pPr>
      <w:r w:rsidRPr="00ED4D3A">
        <w:rPr>
          <w:b/>
          <w:bCs/>
        </w:rPr>
        <w:t>Fuentes de datos</w:t>
      </w:r>
      <w:r w:rsidRPr="00ED4D3A">
        <w:t>:</w:t>
      </w:r>
    </w:p>
    <w:p w14:paraId="733523B7" w14:textId="77777777" w:rsidR="00ED4D3A" w:rsidRPr="00ED4D3A" w:rsidRDefault="00ED4D3A" w:rsidP="00ED4D3A">
      <w:pPr>
        <w:numPr>
          <w:ilvl w:val="1"/>
          <w:numId w:val="20"/>
        </w:numPr>
      </w:pPr>
      <w:r w:rsidRPr="00ED4D3A">
        <w:t xml:space="preserve">Bases de datos: </w:t>
      </w:r>
      <w:proofErr w:type="spellStart"/>
      <w:r w:rsidRPr="00ED4D3A">
        <w:t>Epistemonikos</w:t>
      </w:r>
      <w:proofErr w:type="spellEnd"/>
      <w:r w:rsidRPr="00ED4D3A">
        <w:t>, PubMed, Cochrane, entre otras.</w:t>
      </w:r>
    </w:p>
    <w:p w14:paraId="58A827F4" w14:textId="77777777" w:rsidR="00ED4D3A" w:rsidRPr="00ED4D3A" w:rsidRDefault="00ED4D3A" w:rsidP="00ED4D3A">
      <w:pPr>
        <w:numPr>
          <w:ilvl w:val="1"/>
          <w:numId w:val="20"/>
        </w:numPr>
      </w:pPr>
      <w:r w:rsidRPr="00ED4D3A">
        <w:t>Periodo de búsqueda: Desde el inicio de las bases hasta diciembre de 2023.</w:t>
      </w:r>
    </w:p>
    <w:p w14:paraId="46119AE0" w14:textId="77777777" w:rsidR="00ED4D3A" w:rsidRPr="00ED4D3A" w:rsidRDefault="00ED4D3A" w:rsidP="00ED4D3A">
      <w:pPr>
        <w:numPr>
          <w:ilvl w:val="0"/>
          <w:numId w:val="20"/>
        </w:numPr>
      </w:pPr>
      <w:r w:rsidRPr="00ED4D3A">
        <w:rPr>
          <w:b/>
          <w:bCs/>
        </w:rPr>
        <w:t>Selección de estudios</w:t>
      </w:r>
      <w:r w:rsidRPr="00ED4D3A">
        <w:t>: 5 ECA incluidos (de 239 referencias iniciales).</w:t>
      </w:r>
    </w:p>
    <w:p w14:paraId="2C6F580C" w14:textId="77777777" w:rsidR="00ED4D3A" w:rsidRPr="00ED4D3A" w:rsidRDefault="00ED4D3A" w:rsidP="00ED4D3A">
      <w:pPr>
        <w:numPr>
          <w:ilvl w:val="0"/>
          <w:numId w:val="20"/>
        </w:numPr>
      </w:pPr>
      <w:r w:rsidRPr="00ED4D3A">
        <w:rPr>
          <w:b/>
          <w:bCs/>
        </w:rPr>
        <w:t>Metodología</w:t>
      </w:r>
      <w:r w:rsidRPr="00ED4D3A">
        <w:t>:</w:t>
      </w:r>
    </w:p>
    <w:p w14:paraId="46918193" w14:textId="77777777" w:rsidR="00ED4D3A" w:rsidRPr="00ED4D3A" w:rsidRDefault="00ED4D3A" w:rsidP="00ED4D3A">
      <w:pPr>
        <w:numPr>
          <w:ilvl w:val="1"/>
          <w:numId w:val="20"/>
        </w:numPr>
      </w:pPr>
      <w:r w:rsidRPr="00ED4D3A">
        <w:t>Seguimiento de lineamientos PRISMA.</w:t>
      </w:r>
    </w:p>
    <w:p w14:paraId="5724CD9A" w14:textId="77777777" w:rsidR="00ED4D3A" w:rsidRPr="00ED4D3A" w:rsidRDefault="00ED4D3A" w:rsidP="00ED4D3A">
      <w:pPr>
        <w:numPr>
          <w:ilvl w:val="1"/>
          <w:numId w:val="20"/>
        </w:numPr>
      </w:pPr>
      <w:r w:rsidRPr="00ED4D3A">
        <w:t>Evaluación de riesgo de sesgo con herramienta </w:t>
      </w:r>
      <w:r w:rsidRPr="00ED4D3A">
        <w:rPr>
          <w:b/>
          <w:bCs/>
        </w:rPr>
        <w:t xml:space="preserve">Cochrane </w:t>
      </w:r>
      <w:proofErr w:type="spellStart"/>
      <w:r w:rsidRPr="00ED4D3A">
        <w:rPr>
          <w:b/>
          <w:bCs/>
        </w:rPr>
        <w:t>RoB</w:t>
      </w:r>
      <w:proofErr w:type="spellEnd"/>
      <w:r w:rsidRPr="00ED4D3A">
        <w:rPr>
          <w:b/>
          <w:bCs/>
        </w:rPr>
        <w:t xml:space="preserve"> 2</w:t>
      </w:r>
      <w:r w:rsidRPr="00ED4D3A">
        <w:t>.</w:t>
      </w:r>
    </w:p>
    <w:p w14:paraId="39F067AF" w14:textId="77777777" w:rsidR="00ED4D3A" w:rsidRPr="00ED4D3A" w:rsidRDefault="00ED4D3A" w:rsidP="00ED4D3A">
      <w:pPr>
        <w:numPr>
          <w:ilvl w:val="1"/>
          <w:numId w:val="20"/>
        </w:numPr>
      </w:pPr>
      <w:r w:rsidRPr="00ED4D3A">
        <w:t>Síntesis cuantitativa (metaanálisis de efectos aleatorios) y cualitativa.</w:t>
      </w:r>
    </w:p>
    <w:p w14:paraId="56C67D23" w14:textId="77777777" w:rsidR="00ED4D3A" w:rsidRPr="00ED4D3A" w:rsidRDefault="00ED4D3A" w:rsidP="00ED4D3A">
      <w:pPr>
        <w:numPr>
          <w:ilvl w:val="1"/>
          <w:numId w:val="20"/>
        </w:numPr>
      </w:pPr>
      <w:r w:rsidRPr="00ED4D3A">
        <w:lastRenderedPageBreak/>
        <w:t>Certidumbre de la evidencia mediante metodología </w:t>
      </w:r>
      <w:r w:rsidRPr="00ED4D3A">
        <w:rPr>
          <w:b/>
          <w:bCs/>
        </w:rPr>
        <w:t>GRADE</w:t>
      </w:r>
      <w:r w:rsidRPr="00ED4D3A">
        <w:t>.</w:t>
      </w:r>
    </w:p>
    <w:p w14:paraId="17BB9C62" w14:textId="77777777" w:rsidR="00ED4D3A" w:rsidRPr="00ED4D3A" w:rsidRDefault="00ED4D3A" w:rsidP="00ED4D3A">
      <w:r w:rsidRPr="00ED4D3A">
        <w:pict w14:anchorId="46CE019F">
          <v:rect id="_x0000_i1146" style="width:0;height:.75pt" o:hralign="center" o:hrstd="t" o:hrnoshade="t" o:hr="t" fillcolor="#404040" stroked="f"/>
        </w:pict>
      </w:r>
    </w:p>
    <w:p w14:paraId="136B07F6" w14:textId="77777777" w:rsidR="00ED4D3A" w:rsidRPr="00ED4D3A" w:rsidRDefault="00ED4D3A" w:rsidP="00ED4D3A">
      <w:r w:rsidRPr="00ED4D3A">
        <w:rPr>
          <w:b/>
          <w:bCs/>
        </w:rPr>
        <w:t>5. Criterios de inclusión/exclusión</w:t>
      </w:r>
    </w:p>
    <w:p w14:paraId="0C1D303A" w14:textId="77777777" w:rsidR="00ED4D3A" w:rsidRPr="00ED4D3A" w:rsidRDefault="00ED4D3A" w:rsidP="00ED4D3A">
      <w:pPr>
        <w:numPr>
          <w:ilvl w:val="0"/>
          <w:numId w:val="21"/>
        </w:numPr>
      </w:pPr>
      <w:r w:rsidRPr="00ED4D3A">
        <w:rPr>
          <w:b/>
          <w:bCs/>
        </w:rPr>
        <w:t>Inclusión</w:t>
      </w:r>
      <w:r w:rsidRPr="00ED4D3A">
        <w:t>:</w:t>
      </w:r>
    </w:p>
    <w:p w14:paraId="56CFDBF6" w14:textId="77777777" w:rsidR="00ED4D3A" w:rsidRPr="00ED4D3A" w:rsidRDefault="00ED4D3A" w:rsidP="00ED4D3A">
      <w:pPr>
        <w:numPr>
          <w:ilvl w:val="1"/>
          <w:numId w:val="21"/>
        </w:numPr>
      </w:pPr>
      <w:r w:rsidRPr="00ED4D3A">
        <w:t>ECA que compararan TAK-003 con placebo.</w:t>
      </w:r>
    </w:p>
    <w:p w14:paraId="7F3663B9" w14:textId="77777777" w:rsidR="00ED4D3A" w:rsidRPr="00ED4D3A" w:rsidRDefault="00ED4D3A" w:rsidP="00ED4D3A">
      <w:pPr>
        <w:numPr>
          <w:ilvl w:val="1"/>
          <w:numId w:val="21"/>
        </w:numPr>
      </w:pPr>
      <w:r w:rsidRPr="00ED4D3A">
        <w:t>Población: Personas sanas (niños y adultos), independientemente de exposición previa al dengue.</w:t>
      </w:r>
    </w:p>
    <w:p w14:paraId="649CBDF8" w14:textId="77777777" w:rsidR="00ED4D3A" w:rsidRPr="00ED4D3A" w:rsidRDefault="00ED4D3A" w:rsidP="00ED4D3A">
      <w:pPr>
        <w:numPr>
          <w:ilvl w:val="1"/>
          <w:numId w:val="21"/>
        </w:numPr>
      </w:pPr>
      <w:r w:rsidRPr="00ED4D3A">
        <w:t>Resultados: Mortalidad, infección grave por dengue, eventos adversos.</w:t>
      </w:r>
    </w:p>
    <w:p w14:paraId="6C30C668" w14:textId="77777777" w:rsidR="00ED4D3A" w:rsidRPr="00ED4D3A" w:rsidRDefault="00ED4D3A" w:rsidP="00ED4D3A">
      <w:pPr>
        <w:numPr>
          <w:ilvl w:val="0"/>
          <w:numId w:val="21"/>
        </w:numPr>
      </w:pPr>
      <w:r w:rsidRPr="00ED4D3A">
        <w:rPr>
          <w:b/>
          <w:bCs/>
        </w:rPr>
        <w:t>Exclusión</w:t>
      </w:r>
      <w:r w:rsidRPr="00ED4D3A">
        <w:t>:</w:t>
      </w:r>
    </w:p>
    <w:p w14:paraId="26387287" w14:textId="77777777" w:rsidR="00ED4D3A" w:rsidRPr="00ED4D3A" w:rsidRDefault="00ED4D3A" w:rsidP="00ED4D3A">
      <w:pPr>
        <w:numPr>
          <w:ilvl w:val="1"/>
          <w:numId w:val="21"/>
        </w:numPr>
      </w:pPr>
      <w:r w:rsidRPr="00ED4D3A">
        <w:t>Estudios no aleatorizados, diseños no controlados, intervenciones distintas a TAK-003.</w:t>
      </w:r>
    </w:p>
    <w:p w14:paraId="5E8E6A80" w14:textId="77777777" w:rsidR="00ED4D3A" w:rsidRDefault="00ED4D3A" w:rsidP="00ED4D3A">
      <w:pPr>
        <w:numPr>
          <w:ilvl w:val="1"/>
          <w:numId w:val="21"/>
        </w:numPr>
      </w:pPr>
      <w:r w:rsidRPr="00ED4D3A">
        <w:t>Resultados no relevantes (ej., solo inmunogenicidad sin datos clínicos).</w:t>
      </w:r>
    </w:p>
    <w:p w14:paraId="59AB7C44" w14:textId="78FAC490" w:rsidR="00E4184C" w:rsidRPr="00ED4D3A" w:rsidRDefault="00E4184C" w:rsidP="00E4184C">
      <w:r w:rsidRPr="00E4184C">
        <w:rPr>
          <w:highlight w:val="yellow"/>
        </w:rPr>
        <w:t xml:space="preserve">Estado inmunológico y exposición no son criterios de </w:t>
      </w:r>
      <w:proofErr w:type="spellStart"/>
      <w:r w:rsidRPr="00E4184C">
        <w:rPr>
          <w:highlight w:val="yellow"/>
        </w:rPr>
        <w:t>inclusion</w:t>
      </w:r>
      <w:proofErr w:type="spellEnd"/>
    </w:p>
    <w:p w14:paraId="189898F4" w14:textId="77777777" w:rsidR="00ED4D3A" w:rsidRPr="00ED4D3A" w:rsidRDefault="00ED4D3A" w:rsidP="00ED4D3A">
      <w:r w:rsidRPr="00ED4D3A">
        <w:pict w14:anchorId="6820FE3C">
          <v:rect id="_x0000_i1147" style="width:0;height:.75pt" o:hralign="center" o:hrstd="t" o:hrnoshade="t" o:hr="t" fillcolor="#404040" stroked="f"/>
        </w:pict>
      </w:r>
    </w:p>
    <w:p w14:paraId="3130840F" w14:textId="77777777" w:rsidR="00ED4D3A" w:rsidRPr="00ED4D3A" w:rsidRDefault="00ED4D3A" w:rsidP="00ED4D3A">
      <w:r w:rsidRPr="00ED4D3A">
        <w:rPr>
          <w:b/>
          <w:bCs/>
        </w:rPr>
        <w:t>6. Metodología estadística</w:t>
      </w:r>
    </w:p>
    <w:p w14:paraId="2D470EDD" w14:textId="77777777" w:rsidR="00ED4D3A" w:rsidRPr="00ED4D3A" w:rsidRDefault="00ED4D3A" w:rsidP="00ED4D3A">
      <w:pPr>
        <w:numPr>
          <w:ilvl w:val="0"/>
          <w:numId w:val="22"/>
        </w:numPr>
      </w:pPr>
      <w:r w:rsidRPr="00ED4D3A">
        <w:rPr>
          <w:b/>
          <w:bCs/>
        </w:rPr>
        <w:t>Medidas de efecto</w:t>
      </w:r>
      <w:r w:rsidRPr="00ED4D3A">
        <w:t>:</w:t>
      </w:r>
    </w:p>
    <w:p w14:paraId="1A11FED7" w14:textId="77777777" w:rsidR="00ED4D3A" w:rsidRPr="00ED4D3A" w:rsidRDefault="00ED4D3A" w:rsidP="00ED4D3A">
      <w:pPr>
        <w:numPr>
          <w:ilvl w:val="1"/>
          <w:numId w:val="22"/>
        </w:numPr>
      </w:pPr>
      <w:r w:rsidRPr="00ED4D3A">
        <w:t>Riesgo relativo (RR) con intervalos de confianza del 95% para resultados dicotómicos.</w:t>
      </w:r>
    </w:p>
    <w:p w14:paraId="3F6A4DAE" w14:textId="77777777" w:rsidR="00ED4D3A" w:rsidRPr="00ED4D3A" w:rsidRDefault="00ED4D3A" w:rsidP="00ED4D3A">
      <w:pPr>
        <w:numPr>
          <w:ilvl w:val="1"/>
          <w:numId w:val="22"/>
        </w:numPr>
      </w:pPr>
      <w:r w:rsidRPr="00ED4D3A">
        <w:t>Diferencia de medias para resultados continuos.</w:t>
      </w:r>
    </w:p>
    <w:p w14:paraId="6C32E24D" w14:textId="77777777" w:rsidR="00ED4D3A" w:rsidRPr="00ED4D3A" w:rsidRDefault="00ED4D3A" w:rsidP="00ED4D3A">
      <w:pPr>
        <w:numPr>
          <w:ilvl w:val="0"/>
          <w:numId w:val="22"/>
        </w:numPr>
      </w:pPr>
      <w:r w:rsidRPr="00ED4D3A">
        <w:rPr>
          <w:b/>
          <w:bCs/>
        </w:rPr>
        <w:t>Heterogeneidad</w:t>
      </w:r>
      <w:r w:rsidRPr="00ED4D3A">
        <w:t>: Evaluada con prueba </w:t>
      </w:r>
      <w:r w:rsidRPr="00ED4D3A">
        <w:rPr>
          <w:b/>
          <w:bCs/>
        </w:rPr>
        <w:t>Q (χ²)</w:t>
      </w:r>
      <w:r w:rsidRPr="00ED4D3A">
        <w:t> e índice </w:t>
      </w:r>
      <w:r w:rsidRPr="00ED4D3A">
        <w:rPr>
          <w:b/>
          <w:bCs/>
        </w:rPr>
        <w:t>I²</w:t>
      </w:r>
      <w:r w:rsidRPr="00ED4D3A">
        <w:t>.</w:t>
      </w:r>
    </w:p>
    <w:p w14:paraId="772098DC" w14:textId="77777777" w:rsidR="00ED4D3A" w:rsidRPr="00ED4D3A" w:rsidRDefault="00ED4D3A" w:rsidP="00ED4D3A">
      <w:pPr>
        <w:numPr>
          <w:ilvl w:val="1"/>
          <w:numId w:val="22"/>
        </w:numPr>
      </w:pPr>
      <w:r w:rsidRPr="00ED4D3A">
        <w:t>Heterogeneidad significativa si *p* &lt; 0.1 o I² &gt; 50%.</w:t>
      </w:r>
    </w:p>
    <w:p w14:paraId="3895178C" w14:textId="77777777" w:rsidR="00ED4D3A" w:rsidRPr="00ED4D3A" w:rsidRDefault="00ED4D3A" w:rsidP="00ED4D3A">
      <w:pPr>
        <w:numPr>
          <w:ilvl w:val="0"/>
          <w:numId w:val="22"/>
        </w:numPr>
      </w:pPr>
      <w:r w:rsidRPr="00ED4D3A">
        <w:rPr>
          <w:b/>
          <w:bCs/>
        </w:rPr>
        <w:t>Modelo estadístico</w:t>
      </w:r>
      <w:r w:rsidRPr="00ED4D3A">
        <w:t>: Metaanálisis de efectos aleatorios (inversa de la varianza).</w:t>
      </w:r>
    </w:p>
    <w:p w14:paraId="4AB537CA" w14:textId="77777777" w:rsidR="00ED4D3A" w:rsidRPr="00ED4D3A" w:rsidRDefault="00ED4D3A" w:rsidP="00ED4D3A">
      <w:pPr>
        <w:numPr>
          <w:ilvl w:val="0"/>
          <w:numId w:val="22"/>
        </w:numPr>
      </w:pPr>
      <w:r w:rsidRPr="00ED4D3A">
        <w:rPr>
          <w:b/>
          <w:bCs/>
        </w:rPr>
        <w:t>Subgrupos</w:t>
      </w:r>
      <w:r w:rsidRPr="00ED4D3A">
        <w:t>: No se realizaron análisis por subgrupos debido a la homogeneidad en población y diseño.</w:t>
      </w:r>
    </w:p>
    <w:p w14:paraId="252A29BC" w14:textId="77777777" w:rsidR="00ED4D3A" w:rsidRPr="00ED4D3A" w:rsidRDefault="00ED4D3A" w:rsidP="00ED4D3A">
      <w:pPr>
        <w:numPr>
          <w:ilvl w:val="0"/>
          <w:numId w:val="22"/>
        </w:numPr>
      </w:pPr>
      <w:r w:rsidRPr="00ED4D3A">
        <w:rPr>
          <w:b/>
          <w:bCs/>
        </w:rPr>
        <w:t>GRADE</w:t>
      </w:r>
      <w:r w:rsidRPr="00ED4D3A">
        <w:t>: Evaluación de certeza de la evidencia en dominios como sesgo, imprecisión e inconsistencia.</w:t>
      </w:r>
    </w:p>
    <w:p w14:paraId="5D8FD39B" w14:textId="77777777" w:rsidR="00ED4D3A" w:rsidRPr="00ED4D3A" w:rsidRDefault="00ED4D3A" w:rsidP="00ED4D3A">
      <w:r w:rsidRPr="00ED4D3A">
        <w:pict w14:anchorId="54C63CF4">
          <v:rect id="_x0000_i1148" style="width:0;height:.75pt" o:hralign="center" o:hrstd="t" o:hrnoshade="t" o:hr="t" fillcolor="#404040" stroked="f"/>
        </w:pict>
      </w:r>
    </w:p>
    <w:p w14:paraId="71B5D7FE" w14:textId="77777777" w:rsidR="00ED4D3A" w:rsidRPr="00ED4D3A" w:rsidRDefault="00ED4D3A" w:rsidP="00ED4D3A">
      <w:r w:rsidRPr="00ED4D3A">
        <w:rPr>
          <w:b/>
          <w:bCs/>
        </w:rPr>
        <w:t>7. Resultados principales</w:t>
      </w:r>
    </w:p>
    <w:p w14:paraId="682C20AF" w14:textId="77777777" w:rsidR="00ED4D3A" w:rsidRPr="00ED4D3A" w:rsidRDefault="00ED4D3A" w:rsidP="00ED4D3A">
      <w:pPr>
        <w:numPr>
          <w:ilvl w:val="0"/>
          <w:numId w:val="23"/>
        </w:numPr>
      </w:pPr>
      <w:r w:rsidRPr="00ED4D3A">
        <w:rPr>
          <w:b/>
          <w:bCs/>
        </w:rPr>
        <w:lastRenderedPageBreak/>
        <w:t>Efectividad</w:t>
      </w:r>
      <w:r w:rsidRPr="00ED4D3A">
        <w:t>:</w:t>
      </w:r>
    </w:p>
    <w:p w14:paraId="7FEECBB0" w14:textId="77777777" w:rsidR="00ED4D3A" w:rsidRPr="00ED4D3A" w:rsidRDefault="00ED4D3A" w:rsidP="00ED4D3A">
      <w:pPr>
        <w:numPr>
          <w:ilvl w:val="1"/>
          <w:numId w:val="23"/>
        </w:numPr>
      </w:pPr>
      <w:r w:rsidRPr="00ED4D3A">
        <w:rPr>
          <w:b/>
          <w:bCs/>
        </w:rPr>
        <w:t>Reducción de dengue grave</w:t>
      </w:r>
      <w:r w:rsidRPr="00ED4D3A">
        <w:t>: RR 0.17 (IC 95%: 0.12–0.24) — </w:t>
      </w:r>
      <w:r w:rsidRPr="00ED4D3A">
        <w:rPr>
          <w:b/>
          <w:bCs/>
        </w:rPr>
        <w:t>alta certeza</w:t>
      </w:r>
      <w:r w:rsidRPr="00ED4D3A">
        <w:t>.</w:t>
      </w:r>
    </w:p>
    <w:p w14:paraId="07091148" w14:textId="77777777" w:rsidR="00ED4D3A" w:rsidRPr="00ED4D3A" w:rsidRDefault="00ED4D3A" w:rsidP="00ED4D3A">
      <w:pPr>
        <w:numPr>
          <w:ilvl w:val="1"/>
          <w:numId w:val="23"/>
        </w:numPr>
      </w:pPr>
      <w:r w:rsidRPr="00ED4D3A">
        <w:rPr>
          <w:b/>
          <w:bCs/>
        </w:rPr>
        <w:t>Reducción de infección por dengue</w:t>
      </w:r>
      <w:r w:rsidRPr="00ED4D3A">
        <w:t>: RR 0.40 (IC 95%: 0.36–0.45) — </w:t>
      </w:r>
      <w:r w:rsidRPr="00ED4D3A">
        <w:rPr>
          <w:b/>
          <w:bCs/>
        </w:rPr>
        <w:t>alta certeza</w:t>
      </w:r>
      <w:r w:rsidRPr="00ED4D3A">
        <w:t>.</w:t>
      </w:r>
    </w:p>
    <w:p w14:paraId="01E8B1D4" w14:textId="77777777" w:rsidR="00ED4D3A" w:rsidRPr="00ED4D3A" w:rsidRDefault="00ED4D3A" w:rsidP="00ED4D3A">
      <w:pPr>
        <w:numPr>
          <w:ilvl w:val="1"/>
          <w:numId w:val="23"/>
        </w:numPr>
      </w:pPr>
      <w:r w:rsidRPr="00ED4D3A">
        <w:rPr>
          <w:b/>
          <w:bCs/>
        </w:rPr>
        <w:t>Fiebre hemorrágica</w:t>
      </w:r>
      <w:r w:rsidRPr="00ED4D3A">
        <w:t>: RR 0.35 (IC 95%: 0.15–0.81) — </w:t>
      </w:r>
      <w:r w:rsidRPr="00ED4D3A">
        <w:rPr>
          <w:b/>
          <w:bCs/>
        </w:rPr>
        <w:t>baja certeza</w:t>
      </w:r>
      <w:r w:rsidRPr="00ED4D3A">
        <w:t>.</w:t>
      </w:r>
    </w:p>
    <w:p w14:paraId="56FACE1B" w14:textId="77777777" w:rsidR="00ED4D3A" w:rsidRPr="00ED4D3A" w:rsidRDefault="00ED4D3A" w:rsidP="00ED4D3A">
      <w:pPr>
        <w:numPr>
          <w:ilvl w:val="0"/>
          <w:numId w:val="23"/>
        </w:numPr>
      </w:pPr>
      <w:r w:rsidRPr="00ED4D3A">
        <w:rPr>
          <w:b/>
          <w:bCs/>
        </w:rPr>
        <w:t>Seguridad</w:t>
      </w:r>
      <w:r w:rsidRPr="00ED4D3A">
        <w:t>:</w:t>
      </w:r>
    </w:p>
    <w:p w14:paraId="6EC1D593" w14:textId="77777777" w:rsidR="00ED4D3A" w:rsidRPr="00ED4D3A" w:rsidRDefault="00ED4D3A" w:rsidP="00ED4D3A">
      <w:pPr>
        <w:numPr>
          <w:ilvl w:val="1"/>
          <w:numId w:val="23"/>
        </w:numPr>
      </w:pPr>
      <w:r w:rsidRPr="00ED4D3A">
        <w:rPr>
          <w:b/>
          <w:bCs/>
        </w:rPr>
        <w:t>Eventos adversos graves</w:t>
      </w:r>
      <w:r w:rsidRPr="00ED4D3A">
        <w:t>: RR 1.04 (IC 95%: 0.69–1.55) — </w:t>
      </w:r>
      <w:r w:rsidRPr="00ED4D3A">
        <w:rPr>
          <w:b/>
          <w:bCs/>
        </w:rPr>
        <w:t>baja certeza</w:t>
      </w:r>
      <w:r w:rsidRPr="00ED4D3A">
        <w:t>.</w:t>
      </w:r>
    </w:p>
    <w:p w14:paraId="1D2B4B3C" w14:textId="77777777" w:rsidR="00ED4D3A" w:rsidRPr="00ED4D3A" w:rsidRDefault="00ED4D3A" w:rsidP="00ED4D3A">
      <w:pPr>
        <w:numPr>
          <w:ilvl w:val="1"/>
          <w:numId w:val="23"/>
        </w:numPr>
      </w:pPr>
      <w:r w:rsidRPr="00ED4D3A">
        <w:rPr>
          <w:b/>
          <w:bCs/>
        </w:rPr>
        <w:t>Eventos adversos leves</w:t>
      </w:r>
      <w:r w:rsidRPr="00ED4D3A">
        <w:t>: RR 1.41 (IC 95%: 0.79–2.52) — </w:t>
      </w:r>
      <w:r w:rsidRPr="00ED4D3A">
        <w:rPr>
          <w:b/>
          <w:bCs/>
        </w:rPr>
        <w:t>baja certeza</w:t>
      </w:r>
      <w:r w:rsidRPr="00ED4D3A">
        <w:t>.</w:t>
      </w:r>
    </w:p>
    <w:p w14:paraId="20F206C1" w14:textId="77777777" w:rsidR="00ED4D3A" w:rsidRPr="00ED4D3A" w:rsidRDefault="00ED4D3A" w:rsidP="00ED4D3A">
      <w:pPr>
        <w:numPr>
          <w:ilvl w:val="0"/>
          <w:numId w:val="23"/>
        </w:numPr>
      </w:pPr>
      <w:r w:rsidRPr="00ED4D3A">
        <w:rPr>
          <w:b/>
          <w:bCs/>
        </w:rPr>
        <w:t>Mortalidad</w:t>
      </w:r>
      <w:r w:rsidRPr="00ED4D3A">
        <w:t>: Sin diferencias significativas (RR 1.25, IC 95%: 0.22–6.44) — </w:t>
      </w:r>
      <w:r w:rsidRPr="00ED4D3A">
        <w:rPr>
          <w:b/>
          <w:bCs/>
        </w:rPr>
        <w:t>muy baja certeza</w:t>
      </w:r>
      <w:r w:rsidRPr="00ED4D3A">
        <w:t>.</w:t>
      </w:r>
    </w:p>
    <w:p w14:paraId="7FF9D84D" w14:textId="77777777" w:rsidR="00ED4D3A" w:rsidRPr="00ED4D3A" w:rsidRDefault="00ED4D3A" w:rsidP="00ED4D3A">
      <w:r w:rsidRPr="00ED4D3A">
        <w:pict w14:anchorId="541D51D4">
          <v:rect id="_x0000_i1149" style="width:0;height:.75pt" o:hralign="center" o:hrstd="t" o:hrnoshade="t" o:hr="t" fillcolor="#404040" stroked="f"/>
        </w:pict>
      </w:r>
    </w:p>
    <w:p w14:paraId="2EEBF909" w14:textId="77777777" w:rsidR="00ED4D3A" w:rsidRPr="00ED4D3A" w:rsidRDefault="00ED4D3A" w:rsidP="00ED4D3A">
      <w:r w:rsidRPr="00ED4D3A">
        <w:rPr>
          <w:b/>
          <w:bCs/>
        </w:rPr>
        <w:t>8. Posibles sesgos</w:t>
      </w:r>
    </w:p>
    <w:p w14:paraId="2DBD99E0" w14:textId="77777777" w:rsidR="00ED4D3A" w:rsidRPr="00ED4D3A" w:rsidRDefault="00ED4D3A" w:rsidP="00ED4D3A">
      <w:pPr>
        <w:numPr>
          <w:ilvl w:val="0"/>
          <w:numId w:val="24"/>
        </w:numPr>
      </w:pPr>
      <w:r w:rsidRPr="00ED4D3A">
        <w:rPr>
          <w:b/>
          <w:bCs/>
        </w:rPr>
        <w:t>Sesgo de selección</w:t>
      </w:r>
      <w:r w:rsidRPr="00ED4D3A">
        <w:t>:</w:t>
      </w:r>
    </w:p>
    <w:p w14:paraId="5DC4E46A" w14:textId="77777777" w:rsidR="00ED4D3A" w:rsidRPr="00ED4D3A" w:rsidRDefault="00ED4D3A" w:rsidP="00ED4D3A">
      <w:pPr>
        <w:numPr>
          <w:ilvl w:val="1"/>
          <w:numId w:val="24"/>
        </w:numPr>
      </w:pPr>
      <w:r w:rsidRPr="00ED4D3A">
        <w:rPr>
          <w:b/>
          <w:bCs/>
        </w:rPr>
        <w:t>Riesgo</w:t>
      </w:r>
      <w:r w:rsidRPr="00ED4D3A">
        <w:t>: Bajo, por inclusión de ECA aleatorizados.</w:t>
      </w:r>
    </w:p>
    <w:p w14:paraId="657B9FA1" w14:textId="77777777" w:rsidR="00ED4D3A" w:rsidRPr="00ED4D3A" w:rsidRDefault="00ED4D3A" w:rsidP="00ED4D3A">
      <w:pPr>
        <w:numPr>
          <w:ilvl w:val="1"/>
          <w:numId w:val="24"/>
        </w:numPr>
      </w:pPr>
      <w:r w:rsidRPr="00ED4D3A">
        <w:rPr>
          <w:b/>
          <w:bCs/>
        </w:rPr>
        <w:t>Limitación</w:t>
      </w:r>
      <w:r w:rsidRPr="00ED4D3A">
        <w:t>: Exclusión de estudios en adultos mayores (&gt;59 años) y poblaciones inmunocomprometidas.</w:t>
      </w:r>
    </w:p>
    <w:p w14:paraId="52A7DD9F" w14:textId="77777777" w:rsidR="00ED4D3A" w:rsidRPr="00ED4D3A" w:rsidRDefault="00ED4D3A" w:rsidP="00ED4D3A">
      <w:pPr>
        <w:numPr>
          <w:ilvl w:val="0"/>
          <w:numId w:val="24"/>
        </w:numPr>
      </w:pPr>
      <w:r w:rsidRPr="00ED4D3A">
        <w:rPr>
          <w:b/>
          <w:bCs/>
        </w:rPr>
        <w:t>Sesgo de publicación</w:t>
      </w:r>
      <w:r w:rsidRPr="00ED4D3A">
        <w:t>:</w:t>
      </w:r>
    </w:p>
    <w:p w14:paraId="0CEDF974" w14:textId="77777777" w:rsidR="00ED4D3A" w:rsidRPr="00ED4D3A" w:rsidRDefault="00ED4D3A" w:rsidP="00ED4D3A">
      <w:pPr>
        <w:numPr>
          <w:ilvl w:val="1"/>
          <w:numId w:val="24"/>
        </w:numPr>
      </w:pPr>
      <w:r w:rsidRPr="00ED4D3A">
        <w:rPr>
          <w:b/>
          <w:bCs/>
        </w:rPr>
        <w:t>Riesgo</w:t>
      </w:r>
      <w:r w:rsidRPr="00ED4D3A">
        <w:t>: Moderado, ya que no se buscaron estudios no publicados (ej., registros clínicos no indexados).</w:t>
      </w:r>
    </w:p>
    <w:p w14:paraId="20877EB4" w14:textId="77777777" w:rsidR="00ED4D3A" w:rsidRPr="00ED4D3A" w:rsidRDefault="00ED4D3A" w:rsidP="00ED4D3A">
      <w:pPr>
        <w:numPr>
          <w:ilvl w:val="1"/>
          <w:numId w:val="24"/>
        </w:numPr>
      </w:pPr>
      <w:r w:rsidRPr="00ED4D3A">
        <w:rPr>
          <w:b/>
          <w:bCs/>
        </w:rPr>
        <w:t>Mitigación</w:t>
      </w:r>
      <w:r w:rsidRPr="00ED4D3A">
        <w:t>: Búsqueda en múltiples bases de datos y revisión manual de referencias.</w:t>
      </w:r>
    </w:p>
    <w:p w14:paraId="091495A3" w14:textId="77777777" w:rsidR="00ED4D3A" w:rsidRPr="00ED4D3A" w:rsidRDefault="00ED4D3A" w:rsidP="00ED4D3A">
      <w:pPr>
        <w:numPr>
          <w:ilvl w:val="0"/>
          <w:numId w:val="24"/>
        </w:numPr>
      </w:pPr>
      <w:r w:rsidRPr="00ED4D3A">
        <w:rPr>
          <w:b/>
          <w:bCs/>
        </w:rPr>
        <w:t>Sesgo de medición</w:t>
      </w:r>
      <w:r w:rsidRPr="00ED4D3A">
        <w:t>:</w:t>
      </w:r>
    </w:p>
    <w:p w14:paraId="75BD444F" w14:textId="77777777" w:rsidR="00ED4D3A" w:rsidRPr="00ED4D3A" w:rsidRDefault="00ED4D3A" w:rsidP="00ED4D3A">
      <w:pPr>
        <w:numPr>
          <w:ilvl w:val="1"/>
          <w:numId w:val="24"/>
        </w:numPr>
      </w:pPr>
      <w:r w:rsidRPr="00ED4D3A">
        <w:rPr>
          <w:b/>
          <w:bCs/>
        </w:rPr>
        <w:t>Riesgo</w:t>
      </w:r>
      <w:r w:rsidRPr="00ED4D3A">
        <w:t xml:space="preserve">: Bajo para resultados objetivos (PCR para dengue), pero alto para eventos adversos </w:t>
      </w:r>
      <w:proofErr w:type="spellStart"/>
      <w:r w:rsidRPr="00ED4D3A">
        <w:t>autoreportados</w:t>
      </w:r>
      <w:proofErr w:type="spellEnd"/>
      <w:r w:rsidRPr="00ED4D3A">
        <w:t>.</w:t>
      </w:r>
    </w:p>
    <w:p w14:paraId="78F29071" w14:textId="77777777" w:rsidR="00ED4D3A" w:rsidRPr="00ED4D3A" w:rsidRDefault="00ED4D3A" w:rsidP="00ED4D3A">
      <w:pPr>
        <w:numPr>
          <w:ilvl w:val="0"/>
          <w:numId w:val="24"/>
        </w:numPr>
      </w:pPr>
      <w:r w:rsidRPr="00ED4D3A">
        <w:rPr>
          <w:b/>
          <w:bCs/>
        </w:rPr>
        <w:t>Sesgo de heterogeneidad</w:t>
      </w:r>
      <w:r w:rsidRPr="00ED4D3A">
        <w:t>:</w:t>
      </w:r>
    </w:p>
    <w:p w14:paraId="0C9C4819" w14:textId="77777777" w:rsidR="00ED4D3A" w:rsidRPr="00ED4D3A" w:rsidRDefault="00ED4D3A" w:rsidP="00ED4D3A">
      <w:pPr>
        <w:numPr>
          <w:ilvl w:val="1"/>
          <w:numId w:val="24"/>
        </w:numPr>
      </w:pPr>
      <w:r w:rsidRPr="00ED4D3A">
        <w:rPr>
          <w:b/>
          <w:bCs/>
        </w:rPr>
        <w:t>Riesgo</w:t>
      </w:r>
      <w:r w:rsidRPr="00ED4D3A">
        <w:t>: Alto en análisis de seguridad (I² = 94.6% para eventos adversos leves).</w:t>
      </w:r>
    </w:p>
    <w:p w14:paraId="6286A319" w14:textId="77777777" w:rsidR="00ED4D3A" w:rsidRPr="00ED4D3A" w:rsidRDefault="00ED4D3A" w:rsidP="00ED4D3A">
      <w:pPr>
        <w:numPr>
          <w:ilvl w:val="1"/>
          <w:numId w:val="24"/>
        </w:numPr>
      </w:pPr>
      <w:r w:rsidRPr="00ED4D3A">
        <w:rPr>
          <w:b/>
          <w:bCs/>
        </w:rPr>
        <w:lastRenderedPageBreak/>
        <w:t>Causa</w:t>
      </w:r>
      <w:r w:rsidRPr="00ED4D3A">
        <w:t>: Diferencias en definiciones y métodos de reporte entre estudios.</w:t>
      </w:r>
    </w:p>
    <w:p w14:paraId="622BE2E0" w14:textId="77777777" w:rsidR="00ED4D3A" w:rsidRPr="00ED4D3A" w:rsidRDefault="00ED4D3A" w:rsidP="00ED4D3A">
      <w:pPr>
        <w:numPr>
          <w:ilvl w:val="0"/>
          <w:numId w:val="24"/>
        </w:numPr>
      </w:pPr>
      <w:r w:rsidRPr="00ED4D3A">
        <w:rPr>
          <w:b/>
          <w:bCs/>
        </w:rPr>
        <w:t>Sesgo de confusión</w:t>
      </w:r>
      <w:r w:rsidRPr="00ED4D3A">
        <w:t>:</w:t>
      </w:r>
    </w:p>
    <w:p w14:paraId="48ABA1B0" w14:textId="77777777" w:rsidR="00ED4D3A" w:rsidRPr="00ED4D3A" w:rsidRDefault="00ED4D3A" w:rsidP="00ED4D3A">
      <w:pPr>
        <w:numPr>
          <w:ilvl w:val="1"/>
          <w:numId w:val="24"/>
        </w:numPr>
      </w:pPr>
      <w:r w:rsidRPr="00ED4D3A">
        <w:rPr>
          <w:b/>
          <w:bCs/>
        </w:rPr>
        <w:t>Riesgo</w:t>
      </w:r>
      <w:r w:rsidRPr="00ED4D3A">
        <w:t>: Moderado, por falta de datos sobre exposición previa a otros flavivirus (Zika, fiebre amarilla).</w:t>
      </w:r>
    </w:p>
    <w:p w14:paraId="7B66AF81" w14:textId="77777777" w:rsidR="00ED4D3A" w:rsidRPr="00ED4D3A" w:rsidRDefault="00ED4D3A" w:rsidP="00ED4D3A">
      <w:pPr>
        <w:numPr>
          <w:ilvl w:val="0"/>
          <w:numId w:val="24"/>
        </w:numPr>
      </w:pPr>
      <w:r w:rsidRPr="00ED4D3A">
        <w:rPr>
          <w:b/>
          <w:bCs/>
        </w:rPr>
        <w:t>Sesgo de tiempo de seguimiento</w:t>
      </w:r>
      <w:r w:rsidRPr="00ED4D3A">
        <w:t>:</w:t>
      </w:r>
    </w:p>
    <w:p w14:paraId="2D67EE83" w14:textId="77777777" w:rsidR="00ED4D3A" w:rsidRPr="00ED4D3A" w:rsidRDefault="00ED4D3A" w:rsidP="00ED4D3A">
      <w:pPr>
        <w:numPr>
          <w:ilvl w:val="1"/>
          <w:numId w:val="24"/>
        </w:numPr>
      </w:pPr>
      <w:r w:rsidRPr="00ED4D3A">
        <w:rPr>
          <w:b/>
          <w:bCs/>
        </w:rPr>
        <w:t>Riesgo</w:t>
      </w:r>
      <w:r w:rsidRPr="00ED4D3A">
        <w:t>: Alto, ya que algunos estudios tenían seguimiento corto (&lt;12 meses), limitando la evaluación de efectos a largo plazo.</w:t>
      </w:r>
    </w:p>
    <w:p w14:paraId="0735DACE" w14:textId="77777777" w:rsidR="00ED4D3A" w:rsidRPr="00ED4D3A" w:rsidRDefault="00ED4D3A" w:rsidP="00ED4D3A">
      <w:r w:rsidRPr="00ED4D3A">
        <w:pict w14:anchorId="03D90F28">
          <v:rect id="_x0000_i1150" style="width:0;height:.75pt" o:hralign="center" o:hrstd="t" o:hrnoshade="t" o:hr="t" fillcolor="#404040" stroked="f"/>
        </w:pict>
      </w:r>
    </w:p>
    <w:p w14:paraId="3817C1B1" w14:textId="77777777" w:rsidR="00ED4D3A" w:rsidRPr="00ED4D3A" w:rsidRDefault="00ED4D3A" w:rsidP="00ED4D3A">
      <w:r w:rsidRPr="00ED4D3A">
        <w:rPr>
          <w:b/>
          <w:bCs/>
        </w:rPr>
        <w:t>9. Limitaciones adicionales</w:t>
      </w:r>
    </w:p>
    <w:p w14:paraId="026E6744" w14:textId="77777777" w:rsidR="00ED4D3A" w:rsidRPr="00ED4D3A" w:rsidRDefault="00ED4D3A" w:rsidP="00ED4D3A">
      <w:pPr>
        <w:numPr>
          <w:ilvl w:val="0"/>
          <w:numId w:val="25"/>
        </w:numPr>
      </w:pPr>
      <w:r w:rsidRPr="00ED4D3A">
        <w:rPr>
          <w:b/>
          <w:bCs/>
        </w:rPr>
        <w:t>Población</w:t>
      </w:r>
      <w:r w:rsidRPr="00ED4D3A">
        <w:t>: Enfoque en niños/adolescentes (solo 1 estudio incluyó adultos).</w:t>
      </w:r>
    </w:p>
    <w:p w14:paraId="607C4583" w14:textId="77777777" w:rsidR="00ED4D3A" w:rsidRPr="00ED4D3A" w:rsidRDefault="00ED4D3A" w:rsidP="00ED4D3A">
      <w:pPr>
        <w:numPr>
          <w:ilvl w:val="0"/>
          <w:numId w:val="25"/>
        </w:numPr>
      </w:pPr>
      <w:r w:rsidRPr="00ED4D3A">
        <w:rPr>
          <w:b/>
          <w:bCs/>
        </w:rPr>
        <w:t>Contexto geográfico</w:t>
      </w:r>
      <w:r w:rsidRPr="00ED4D3A">
        <w:t>: Mayoría de estudios en países endémicos (Asia/Latinoamérica), lo que puede limitar la generalización a Argentina.</w:t>
      </w:r>
    </w:p>
    <w:p w14:paraId="1A839A12" w14:textId="77777777" w:rsidR="00ED4D3A" w:rsidRPr="00ED4D3A" w:rsidRDefault="00ED4D3A" w:rsidP="00ED4D3A">
      <w:pPr>
        <w:numPr>
          <w:ilvl w:val="0"/>
          <w:numId w:val="25"/>
        </w:numPr>
      </w:pPr>
      <w:r w:rsidRPr="00ED4D3A">
        <w:rPr>
          <w:b/>
          <w:bCs/>
        </w:rPr>
        <w:t>Certidumbre GRADE</w:t>
      </w:r>
      <w:r w:rsidRPr="00ED4D3A">
        <w:t>: Baja para seguridad, lo que sugiere necesidad de más investigación.</w:t>
      </w:r>
    </w:p>
    <w:p w14:paraId="45BA6919" w14:textId="77777777" w:rsidR="00ED4D3A" w:rsidRPr="00ED4D3A" w:rsidRDefault="00ED4D3A" w:rsidP="00ED4D3A">
      <w:r w:rsidRPr="00ED4D3A">
        <w:pict w14:anchorId="39271C8A">
          <v:rect id="_x0000_i1151" style="width:0;height:.75pt" o:hralign="center" o:hrstd="t" o:hrnoshade="t" o:hr="t" fillcolor="#404040" stroked="f"/>
        </w:pict>
      </w:r>
    </w:p>
    <w:p w14:paraId="1B5EC5A4" w14:textId="77777777" w:rsidR="00ED4D3A" w:rsidRPr="00ED4D3A" w:rsidRDefault="00ED4D3A" w:rsidP="00ED4D3A">
      <w:r w:rsidRPr="00ED4D3A">
        <w:rPr>
          <w:b/>
          <w:bCs/>
        </w:rPr>
        <w:t>10. Conclusión</w:t>
      </w:r>
    </w:p>
    <w:p w14:paraId="1DD0EB17" w14:textId="77777777" w:rsidR="00ED4D3A" w:rsidRPr="00ED4D3A" w:rsidRDefault="00ED4D3A" w:rsidP="00ED4D3A">
      <w:r w:rsidRPr="00ED4D3A">
        <w:t>La vacuna TAK-003 muestra </w:t>
      </w:r>
      <w:r w:rsidRPr="00ED4D3A">
        <w:rPr>
          <w:b/>
          <w:bCs/>
        </w:rPr>
        <w:t>alta efectividad</w:t>
      </w:r>
      <w:r w:rsidRPr="00ED4D3A">
        <w:t> para prevenir dengue grave y sintomático en menores de 17 años, pero la evidencia sobre seguridad es </w:t>
      </w:r>
      <w:r w:rsidRPr="00ED4D3A">
        <w:rPr>
          <w:b/>
          <w:bCs/>
        </w:rPr>
        <w:t>incierta</w:t>
      </w:r>
      <w:r w:rsidRPr="00ED4D3A">
        <w:t xml:space="preserve">. La decisión de vacunación debe considerar el riesgo local de infección y la necesidad de vigilancia </w:t>
      </w:r>
      <w:proofErr w:type="spellStart"/>
      <w:r w:rsidRPr="00ED4D3A">
        <w:t>post-comercialización</w:t>
      </w:r>
      <w:proofErr w:type="spellEnd"/>
      <w:r w:rsidRPr="00ED4D3A">
        <w:t>.</w:t>
      </w:r>
    </w:p>
    <w:p w14:paraId="05B5EEE3" w14:textId="77777777" w:rsidR="00ED4D3A" w:rsidRDefault="00ED4D3A"/>
    <w:p w14:paraId="57DAE8EC" w14:textId="77777777" w:rsidR="00E4184C" w:rsidRDefault="00E4184C"/>
    <w:p w14:paraId="536C2269" w14:textId="73992A67" w:rsidR="00E4184C" w:rsidRPr="00E4184C" w:rsidRDefault="00E4184C">
      <w:pPr>
        <w:rPr>
          <w:highlight w:val="yellow"/>
        </w:rPr>
      </w:pPr>
      <w:r w:rsidRPr="00E4184C">
        <w:rPr>
          <w:highlight w:val="yellow"/>
        </w:rPr>
        <w:t>Preguntas PICO:</w:t>
      </w:r>
    </w:p>
    <w:p w14:paraId="5703B771" w14:textId="2FFA42DF" w:rsidR="00E4184C" w:rsidRPr="00E4184C" w:rsidRDefault="00E4184C">
      <w:pPr>
        <w:rPr>
          <w:highlight w:val="yellow"/>
        </w:rPr>
      </w:pPr>
      <w:r w:rsidRPr="00E4184C">
        <w:rPr>
          <w:highlight w:val="yellow"/>
        </w:rPr>
        <w:t>P: pacientes sanos (niños y adultos) independientemente de su exposición</w:t>
      </w:r>
    </w:p>
    <w:p w14:paraId="4FB9A2D7" w14:textId="69E3E7E6" w:rsidR="00E4184C" w:rsidRPr="00E4184C" w:rsidRDefault="00E4184C">
      <w:pPr>
        <w:rPr>
          <w:highlight w:val="yellow"/>
        </w:rPr>
      </w:pPr>
      <w:r w:rsidRPr="00E4184C">
        <w:rPr>
          <w:highlight w:val="yellow"/>
        </w:rPr>
        <w:t>I: vacuna tetravalente atenuada contra el dengue (TAK-003)</w:t>
      </w:r>
    </w:p>
    <w:p w14:paraId="412F5075" w14:textId="56301A95" w:rsidR="00E4184C" w:rsidRPr="00E4184C" w:rsidRDefault="00E4184C">
      <w:pPr>
        <w:rPr>
          <w:highlight w:val="yellow"/>
        </w:rPr>
      </w:pPr>
      <w:r w:rsidRPr="00E4184C">
        <w:rPr>
          <w:highlight w:val="yellow"/>
        </w:rPr>
        <w:t>C: placebo</w:t>
      </w:r>
    </w:p>
    <w:p w14:paraId="46DF84C5" w14:textId="174357B8" w:rsidR="00E4184C" w:rsidRDefault="00E4184C">
      <w:r w:rsidRPr="00E4184C">
        <w:rPr>
          <w:highlight w:val="yellow"/>
        </w:rPr>
        <w:t>O: mortalidad, infección grave por dengue, infección por dengue, dengue hemorrágico, eventos adversos graves, eventos adversos.</w:t>
      </w:r>
    </w:p>
    <w:sectPr w:rsidR="00E41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14409"/>
    <w:multiLevelType w:val="multilevel"/>
    <w:tmpl w:val="B1C8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309CF"/>
    <w:multiLevelType w:val="multilevel"/>
    <w:tmpl w:val="E6E0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C278D"/>
    <w:multiLevelType w:val="multilevel"/>
    <w:tmpl w:val="F4FA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669B9"/>
    <w:multiLevelType w:val="multilevel"/>
    <w:tmpl w:val="6DA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92FAC"/>
    <w:multiLevelType w:val="multilevel"/>
    <w:tmpl w:val="13DC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013D2"/>
    <w:multiLevelType w:val="multilevel"/>
    <w:tmpl w:val="10A0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E7456"/>
    <w:multiLevelType w:val="multilevel"/>
    <w:tmpl w:val="8B12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40A57"/>
    <w:multiLevelType w:val="multilevel"/>
    <w:tmpl w:val="CF16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3E5986"/>
    <w:multiLevelType w:val="multilevel"/>
    <w:tmpl w:val="8042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C4C59"/>
    <w:multiLevelType w:val="multilevel"/>
    <w:tmpl w:val="7D8E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F13B1"/>
    <w:multiLevelType w:val="multilevel"/>
    <w:tmpl w:val="377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143662"/>
    <w:multiLevelType w:val="multilevel"/>
    <w:tmpl w:val="1C04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F35FE"/>
    <w:multiLevelType w:val="multilevel"/>
    <w:tmpl w:val="30AA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52FDC"/>
    <w:multiLevelType w:val="multilevel"/>
    <w:tmpl w:val="8BAA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0417CD"/>
    <w:multiLevelType w:val="multilevel"/>
    <w:tmpl w:val="71D0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EA270D"/>
    <w:multiLevelType w:val="multilevel"/>
    <w:tmpl w:val="9AC6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2B45E9"/>
    <w:multiLevelType w:val="multilevel"/>
    <w:tmpl w:val="5C48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8761D9"/>
    <w:multiLevelType w:val="multilevel"/>
    <w:tmpl w:val="3BAA4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8026D6"/>
    <w:multiLevelType w:val="multilevel"/>
    <w:tmpl w:val="2E0A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6B5F5B"/>
    <w:multiLevelType w:val="multilevel"/>
    <w:tmpl w:val="FE4C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4938D7"/>
    <w:multiLevelType w:val="multilevel"/>
    <w:tmpl w:val="9180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D242E4"/>
    <w:multiLevelType w:val="multilevel"/>
    <w:tmpl w:val="AAAC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555AD"/>
    <w:multiLevelType w:val="multilevel"/>
    <w:tmpl w:val="22AC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6B0C67"/>
    <w:multiLevelType w:val="multilevel"/>
    <w:tmpl w:val="F99A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FA046B"/>
    <w:multiLevelType w:val="multilevel"/>
    <w:tmpl w:val="3AB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041600">
    <w:abstractNumId w:val="12"/>
  </w:num>
  <w:num w:numId="2" w16cid:durableId="665130414">
    <w:abstractNumId w:val="8"/>
  </w:num>
  <w:num w:numId="3" w16cid:durableId="263612515">
    <w:abstractNumId w:val="14"/>
  </w:num>
  <w:num w:numId="4" w16cid:durableId="1574123107">
    <w:abstractNumId w:val="23"/>
  </w:num>
  <w:num w:numId="5" w16cid:durableId="1256859536">
    <w:abstractNumId w:val="5"/>
  </w:num>
  <w:num w:numId="6" w16cid:durableId="1797141410">
    <w:abstractNumId w:val="1"/>
  </w:num>
  <w:num w:numId="7" w16cid:durableId="5518368">
    <w:abstractNumId w:val="15"/>
  </w:num>
  <w:num w:numId="8" w16cid:durableId="372314729">
    <w:abstractNumId w:val="19"/>
  </w:num>
  <w:num w:numId="9" w16cid:durableId="1886327678">
    <w:abstractNumId w:val="0"/>
  </w:num>
  <w:num w:numId="10" w16cid:durableId="837042660">
    <w:abstractNumId w:val="16"/>
  </w:num>
  <w:num w:numId="11" w16cid:durableId="1763454956">
    <w:abstractNumId w:val="22"/>
  </w:num>
  <w:num w:numId="12" w16cid:durableId="309140015">
    <w:abstractNumId w:val="4"/>
  </w:num>
  <w:num w:numId="13" w16cid:durableId="1731923064">
    <w:abstractNumId w:val="7"/>
  </w:num>
  <w:num w:numId="14" w16cid:durableId="1444231978">
    <w:abstractNumId w:val="24"/>
  </w:num>
  <w:num w:numId="15" w16cid:durableId="1084570041">
    <w:abstractNumId w:val="21"/>
  </w:num>
  <w:num w:numId="16" w16cid:durableId="857085784">
    <w:abstractNumId w:val="6"/>
  </w:num>
  <w:num w:numId="17" w16cid:durableId="1710572118">
    <w:abstractNumId w:val="11"/>
  </w:num>
  <w:num w:numId="18" w16cid:durableId="1795174214">
    <w:abstractNumId w:val="3"/>
  </w:num>
  <w:num w:numId="19" w16cid:durableId="186414154">
    <w:abstractNumId w:val="13"/>
  </w:num>
  <w:num w:numId="20" w16cid:durableId="288320368">
    <w:abstractNumId w:val="18"/>
  </w:num>
  <w:num w:numId="21" w16cid:durableId="1897736379">
    <w:abstractNumId w:val="20"/>
  </w:num>
  <w:num w:numId="22" w16cid:durableId="1039473503">
    <w:abstractNumId w:val="10"/>
  </w:num>
  <w:num w:numId="23" w16cid:durableId="154613425">
    <w:abstractNumId w:val="9"/>
  </w:num>
  <w:num w:numId="24" w16cid:durableId="1893694726">
    <w:abstractNumId w:val="17"/>
  </w:num>
  <w:num w:numId="25" w16cid:durableId="192966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04"/>
    <w:rsid w:val="00164736"/>
    <w:rsid w:val="006E6FC8"/>
    <w:rsid w:val="00B45C04"/>
    <w:rsid w:val="00D476FF"/>
    <w:rsid w:val="00E4184C"/>
    <w:rsid w:val="00ED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5943D"/>
  <w15:chartTrackingRefBased/>
  <w15:docId w15:val="{A8EB285D-4330-40A9-BC8E-EF74E1E3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5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5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5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5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5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5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5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5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5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5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5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5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5C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5C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5C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5C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5C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5C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5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5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5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5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5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5C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5C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5C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5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5C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5C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1856</Words>
  <Characters>10212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 Iri</dc:creator>
  <cp:keywords/>
  <dc:description/>
  <cp:lastModifiedBy>Male Iri</cp:lastModifiedBy>
  <cp:revision>1</cp:revision>
  <dcterms:created xsi:type="dcterms:W3CDTF">2025-06-19T20:38:00Z</dcterms:created>
  <dcterms:modified xsi:type="dcterms:W3CDTF">2025-06-19T21:52:00Z</dcterms:modified>
</cp:coreProperties>
</file>