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5495"/>
        <w:gridCol w:w="4075"/>
      </w:tblGrid>
      <w:tr w:rsidR="00314A8C" w14:paraId="63609F87" w14:textId="77777777">
        <w:tc>
          <w:tcPr>
            <w:tcW w:w="5495" w:type="dxa"/>
            <w:shd w:val="clear" w:color="auto" w:fill="auto"/>
          </w:tcPr>
          <w:p w14:paraId="6B550FEA" w14:textId="77777777" w:rsidR="00314A8C" w:rsidRDefault="006D541F">
            <w:pPr>
              <w:pStyle w:val="3"/>
              <w:ind w:left="2127" w:hanging="851"/>
              <w:jc w:val="left"/>
              <w:rPr>
                <w:b/>
                <w:bCs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39519EA" wp14:editId="4A0FF7E7">
                  <wp:extent cx="685800" cy="817245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/>
                        </pic:nvPicPr>
                        <pic:blipFill dpi="0"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889" cy="92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07467" w14:textId="77777777" w:rsidR="00314A8C" w:rsidRDefault="00314A8C">
            <w:pPr>
              <w:rPr>
                <w:lang w:eastAsia="en-US"/>
              </w:rPr>
            </w:pPr>
          </w:p>
          <w:p w14:paraId="5E8E5893" w14:textId="77777777" w:rsidR="00314A8C" w:rsidRDefault="006D541F">
            <w:pPr>
              <w:pStyle w:val="3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 xml:space="preserve">            </w:t>
            </w:r>
            <w:r>
              <w:rPr>
                <w:b/>
                <w:bCs/>
                <w:sz w:val="22"/>
                <w:szCs w:val="22"/>
              </w:rPr>
              <w:t>ЦЕНТРАЛЬНЫЙ БАНК</w:t>
            </w:r>
          </w:p>
          <w:p w14:paraId="15E8F258" w14:textId="77777777" w:rsidR="00314A8C" w:rsidRDefault="006D541F">
            <w:pPr>
              <w:pStyle w:val="3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 РОССИЙСКОЙ ФЕДЕРАЦИИ</w:t>
            </w:r>
          </w:p>
          <w:p w14:paraId="24A5E5E0" w14:textId="77777777" w:rsidR="00314A8C" w:rsidRDefault="006D541F">
            <w:pPr>
              <w:tabs>
                <w:tab w:val="left" w:pos="1134"/>
              </w:tabs>
              <w:spacing w:line="360" w:lineRule="auto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 xml:space="preserve">                  (БАНК РОССИИ)</w:t>
            </w:r>
          </w:p>
          <w:p w14:paraId="0B7075EE" w14:textId="77777777" w:rsidR="00314A8C" w:rsidRDefault="006D541F">
            <w:pPr>
              <w:tabs>
                <w:tab w:val="left" w:pos="1134"/>
              </w:tabs>
              <w:spacing w:before="60" w:line="160" w:lineRule="exact"/>
              <w:ind w:left="-108"/>
              <w:rPr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8"/>
                <w:szCs w:val="18"/>
                <w:lang w:eastAsia="en-US"/>
              </w:rPr>
              <w:t xml:space="preserve">     107016, Москва, ул. Неглинная, д. 12, к. В</w:t>
            </w:r>
          </w:p>
          <w:p w14:paraId="7468DDBC" w14:textId="77777777" w:rsidR="00314A8C" w:rsidRDefault="006D541F">
            <w:pPr>
              <w:tabs>
                <w:tab w:val="left" w:pos="1134"/>
              </w:tabs>
              <w:spacing w:before="60" w:line="160" w:lineRule="exact"/>
              <w:ind w:left="-108"/>
              <w:rPr>
                <w:bCs/>
                <w:sz w:val="18"/>
                <w:szCs w:val="18"/>
                <w:lang w:eastAsia="en-US"/>
              </w:rPr>
            </w:pPr>
            <w:r>
              <w:rPr>
                <w:bCs/>
                <w:sz w:val="18"/>
                <w:szCs w:val="18"/>
                <w:lang w:eastAsia="en-US"/>
              </w:rPr>
              <w:t xml:space="preserve">                                   </w:t>
            </w:r>
            <w:hyperlink r:id="rId9">
              <w:r>
                <w:rPr>
                  <w:rStyle w:val="af5"/>
                  <w:bCs/>
                  <w:sz w:val="18"/>
                  <w:szCs w:val="18"/>
                  <w:lang w:val="en-US" w:eastAsia="en-US"/>
                </w:rPr>
                <w:t>www</w:t>
              </w:r>
              <w:r>
                <w:rPr>
                  <w:rStyle w:val="af5"/>
                  <w:bCs/>
                  <w:sz w:val="18"/>
                  <w:szCs w:val="18"/>
                  <w:lang w:eastAsia="en-US"/>
                </w:rPr>
                <w:t>.</w:t>
              </w:r>
              <w:proofErr w:type="spellStart"/>
              <w:r>
                <w:rPr>
                  <w:rStyle w:val="af5"/>
                  <w:bCs/>
                  <w:sz w:val="18"/>
                  <w:szCs w:val="18"/>
                  <w:lang w:val="en-US" w:eastAsia="en-US"/>
                </w:rPr>
                <w:t>cbr</w:t>
              </w:r>
              <w:proofErr w:type="spellEnd"/>
              <w:r>
                <w:rPr>
                  <w:rStyle w:val="af5"/>
                  <w:bCs/>
                  <w:sz w:val="18"/>
                  <w:szCs w:val="18"/>
                  <w:lang w:eastAsia="en-US"/>
                </w:rPr>
                <w:t>.</w:t>
              </w:r>
              <w:proofErr w:type="spellStart"/>
              <w:r>
                <w:rPr>
                  <w:rStyle w:val="af5"/>
                  <w:bCs/>
                  <w:sz w:val="18"/>
                  <w:szCs w:val="18"/>
                  <w:lang w:val="en-US" w:eastAsia="en-US"/>
                </w:rPr>
                <w:t>ru</w:t>
              </w:r>
              <w:proofErr w:type="spellEnd"/>
            </w:hyperlink>
          </w:p>
          <w:p w14:paraId="760F70ED" w14:textId="77777777" w:rsidR="00314A8C" w:rsidRDefault="006D541F">
            <w:pPr>
              <w:tabs>
                <w:tab w:val="left" w:pos="1134"/>
              </w:tabs>
              <w:spacing w:before="60" w:line="160" w:lineRule="exact"/>
              <w:ind w:left="-108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  <w:lang w:eastAsia="en-US"/>
              </w:rPr>
              <w:t xml:space="preserve">           </w:t>
            </w:r>
            <w:r>
              <w:rPr>
                <w:sz w:val="18"/>
                <w:szCs w:val="18"/>
              </w:rPr>
              <w:t xml:space="preserve">тел.: (499) 300-30-00, 8 (800) 300-30-00 </w:t>
            </w:r>
          </w:p>
          <w:p w14:paraId="496C2936" w14:textId="77777777" w:rsidR="00314A8C" w:rsidRDefault="00314A8C">
            <w:pPr>
              <w:rPr>
                <w:sz w:val="22"/>
                <w:szCs w:val="22"/>
              </w:rPr>
            </w:pPr>
          </w:p>
          <w:p w14:paraId="5575D2DC" w14:textId="77777777" w:rsidR="00314A8C" w:rsidRDefault="00314A8C">
            <w:pPr>
              <w:rPr>
                <w:sz w:val="24"/>
              </w:rPr>
            </w:pPr>
          </w:p>
          <w:p w14:paraId="24271E63" w14:textId="77777777" w:rsidR="00314A8C" w:rsidRDefault="006D541F">
            <w:pPr>
              <w:rPr>
                <w:sz w:val="22"/>
                <w:szCs w:val="22"/>
              </w:rPr>
            </w:pPr>
            <w:r>
              <w:rPr>
                <w:sz w:val="24"/>
              </w:rPr>
              <w:t>на № REQ-20260815-1721 от 15.08.2026</w:t>
            </w:r>
          </w:p>
          <w:p w14:paraId="0BC574FD" w14:textId="77777777" w:rsidR="00314A8C" w:rsidRDefault="00314A8C">
            <w:pPr>
              <w:tabs>
                <w:tab w:val="left" w:pos="4500"/>
              </w:tabs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075" w:type="dxa"/>
            <w:shd w:val="clear" w:color="auto" w:fill="auto"/>
          </w:tcPr>
          <w:p w14:paraId="3125CA27" w14:textId="77777777" w:rsidR="00314A8C" w:rsidRDefault="00314A8C">
            <w:pPr>
              <w:rPr>
                <w:sz w:val="28"/>
                <w:szCs w:val="28"/>
              </w:rPr>
            </w:pPr>
          </w:p>
          <w:p w14:paraId="11C91582" w14:textId="77777777" w:rsidR="00314A8C" w:rsidRDefault="00314A8C">
            <w:pPr>
              <w:ind w:left="34" w:hanging="108"/>
              <w:rPr>
                <w:sz w:val="28"/>
                <w:szCs w:val="28"/>
              </w:rPr>
            </w:pPr>
          </w:p>
          <w:p w14:paraId="6A4ADFCF" w14:textId="77777777" w:rsidR="00314A8C" w:rsidRDefault="00314A8C">
            <w:pPr>
              <w:ind w:left="34" w:hanging="108"/>
              <w:rPr>
                <w:sz w:val="28"/>
                <w:szCs w:val="28"/>
              </w:rPr>
            </w:pPr>
          </w:p>
          <w:p w14:paraId="55790242" w14:textId="77777777" w:rsidR="00314A8C" w:rsidRDefault="00314A8C">
            <w:pPr>
              <w:ind w:left="34" w:hanging="108"/>
              <w:rPr>
                <w:sz w:val="28"/>
                <w:szCs w:val="28"/>
              </w:rPr>
            </w:pPr>
          </w:p>
          <w:p w14:paraId="1E5873B2" w14:textId="77777777" w:rsidR="00314A8C" w:rsidRDefault="00314A8C">
            <w:pPr>
              <w:ind w:left="-120" w:firstLine="46"/>
              <w:rPr>
                <w:sz w:val="28"/>
                <w:szCs w:val="28"/>
              </w:rPr>
            </w:pPr>
          </w:p>
          <w:p w14:paraId="425B45B6" w14:textId="77777777" w:rsidR="00314A8C" w:rsidRDefault="00314A8C">
            <w:pPr>
              <w:ind w:left="-120" w:firstLine="46"/>
              <w:rPr>
                <w:sz w:val="28"/>
                <w:szCs w:val="28"/>
              </w:rPr>
            </w:pPr>
          </w:p>
          <w:p w14:paraId="428E2CFC" w14:textId="77777777" w:rsidR="00314A8C" w:rsidRDefault="006D541F">
            <w:pPr>
              <w:ind w:left="-120" w:firstLine="4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АО «Яндекс Банк»</w:t>
            </w:r>
          </w:p>
        </w:tc>
      </w:tr>
    </w:tbl>
    <w:p w14:paraId="0CD4F209" w14:textId="77777777" w:rsidR="00314A8C" w:rsidRDefault="006D541F">
      <w:pPr>
        <w:ind w:right="755"/>
        <w:rPr>
          <w:sz w:val="22"/>
          <w:szCs w:val="22"/>
        </w:rPr>
      </w:pPr>
      <w:r>
        <w:rPr>
          <w:sz w:val="22"/>
          <w:szCs w:val="22"/>
        </w:rPr>
        <w:t>О рассмотрении заявления</w:t>
      </w:r>
    </w:p>
    <w:p w14:paraId="6055FDA3" w14:textId="77777777" w:rsidR="00314A8C" w:rsidRDefault="00314A8C">
      <w:pPr>
        <w:jc w:val="both"/>
        <w:rPr>
          <w:sz w:val="28"/>
          <w:szCs w:val="28"/>
        </w:rPr>
      </w:pPr>
    </w:p>
    <w:p w14:paraId="5DF04329" w14:textId="77777777" w:rsidR="00314A8C" w:rsidRDefault="006D541F">
      <w:pPr>
        <w:pStyle w:val="a7"/>
        <w:spacing w:line="360" w:lineRule="auto"/>
        <w:rPr>
          <w:color w:val="000000"/>
        </w:rPr>
      </w:pPr>
      <w:r>
        <w:rPr>
          <w:color w:val="000000"/>
        </w:rPr>
        <w:t xml:space="preserve">Департамент информационной безопасности Банка России в связи с </w:t>
      </w:r>
      <w:r>
        <w:rPr>
          <w:color w:val="000000"/>
        </w:rPr>
        <w:t>заявлением</w:t>
      </w:r>
      <w:r>
        <w:rPr>
          <w:rStyle w:val="af6"/>
          <w:color w:val="000000"/>
        </w:rPr>
        <w:footnoteReference w:id="1"/>
      </w:r>
      <w:r>
        <w:rPr>
          <w:color w:val="000000"/>
        </w:rPr>
        <w:t xml:space="preserve"> сообщает следующее.</w:t>
      </w:r>
    </w:p>
    <w:p w14:paraId="654D59C7" w14:textId="77777777" w:rsidR="00314A8C" w:rsidRDefault="006D541F">
      <w:pPr>
        <w:pStyle w:val="a7"/>
        <w:spacing w:line="360" w:lineRule="auto"/>
        <w:rPr>
          <w:color w:val="000000"/>
        </w:rPr>
      </w:pPr>
      <w:r>
        <w:rPr>
          <w:color w:val="000000"/>
        </w:rPr>
        <w:t>Банк России рассмотрел заявление и проверил наличие в базе данных сведений, представленных в нем.</w:t>
      </w:r>
    </w:p>
    <w:p w14:paraId="637A17FC" w14:textId="77777777" w:rsidR="00314A8C" w:rsidRDefault="006D541F">
      <w:pPr>
        <w:pStyle w:val="a7"/>
        <w:spacing w:line="360" w:lineRule="auto"/>
        <w:rPr>
          <w:color w:val="000000"/>
        </w:rPr>
      </w:pPr>
      <w:r>
        <w:rPr>
          <w:color w:val="000000"/>
        </w:rPr>
        <w:t>Указанный(</w:t>
      </w:r>
      <w:proofErr w:type="spellStart"/>
      <w:r>
        <w:rPr>
          <w:color w:val="000000"/>
        </w:rPr>
        <w:t>ые</w:t>
      </w:r>
      <w:proofErr w:type="spellEnd"/>
      <w:r>
        <w:rPr>
          <w:color w:val="000000"/>
        </w:rPr>
        <w:t>) в таблице банк(и) плательщика направил(и) в базу данных информацию об ОБДС</w:t>
      </w:r>
      <w:r>
        <w:rPr>
          <w:rStyle w:val="af6"/>
          <w:color w:val="000000"/>
        </w:rPr>
        <w:footnoteReference w:id="2"/>
      </w:r>
      <w:r>
        <w:rPr>
          <w:color w:val="000000"/>
        </w:rPr>
        <w:t>, по которой(</w:t>
      </w:r>
      <w:proofErr w:type="spellStart"/>
      <w:r>
        <w:rPr>
          <w:color w:val="000000"/>
        </w:rPr>
        <w:t>ым</w:t>
      </w:r>
      <w:proofErr w:type="spellEnd"/>
      <w:r>
        <w:rPr>
          <w:color w:val="000000"/>
        </w:rPr>
        <w:t xml:space="preserve">) клиент является получателем средств. 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2149"/>
        <w:gridCol w:w="2472"/>
        <w:gridCol w:w="2069"/>
        <w:gridCol w:w="2654"/>
      </w:tblGrid>
      <w:tr w:rsidR="00314A8C" w14:paraId="3715AFF2" w14:textId="77777777">
        <w:tc>
          <w:tcPr>
            <w:tcW w:w="1150" w:type="pct"/>
          </w:tcPr>
          <w:p w14:paraId="5DF6FF94" w14:textId="77777777" w:rsidR="00314A8C" w:rsidRDefault="006D541F">
            <w:pPr>
              <w:pStyle w:val="a7"/>
              <w:spacing w:line="36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Банк плательщика</w:t>
            </w:r>
            <w:r>
              <w:rPr>
                <w:rStyle w:val="af6"/>
                <w:color w:val="000000"/>
                <w:sz w:val="22"/>
                <w:szCs w:val="22"/>
              </w:rPr>
              <w:footnoteReference w:id="3"/>
            </w:r>
          </w:p>
        </w:tc>
        <w:tc>
          <w:tcPr>
            <w:tcW w:w="1323" w:type="pct"/>
          </w:tcPr>
          <w:p w14:paraId="67B7B338" w14:textId="77777777" w:rsidR="00314A8C" w:rsidRDefault="006D541F">
            <w:pPr>
              <w:pStyle w:val="a7"/>
              <w:spacing w:line="36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Идентификатор операции – номер </w:t>
            </w:r>
            <w:r>
              <w:rPr>
                <w:color w:val="000000"/>
                <w:sz w:val="22"/>
                <w:szCs w:val="22"/>
              </w:rPr>
              <w:br/>
              <w:t>запроса по ОБДС (для банка плательщика)</w:t>
            </w:r>
          </w:p>
        </w:tc>
        <w:tc>
          <w:tcPr>
            <w:tcW w:w="1107" w:type="pct"/>
          </w:tcPr>
          <w:p w14:paraId="0D635F1D" w14:textId="77777777" w:rsidR="00314A8C" w:rsidRDefault="006D541F">
            <w:pPr>
              <w:pStyle w:val="a7"/>
              <w:spacing w:line="36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Банк получателя</w:t>
            </w:r>
            <w:r>
              <w:rPr>
                <w:rStyle w:val="af6"/>
                <w:color w:val="000000"/>
                <w:sz w:val="22"/>
                <w:szCs w:val="22"/>
              </w:rPr>
              <w:footnoteReference w:id="4"/>
            </w:r>
          </w:p>
        </w:tc>
        <w:tc>
          <w:tcPr>
            <w:tcW w:w="1420" w:type="pct"/>
          </w:tcPr>
          <w:p w14:paraId="38448100" w14:textId="77777777" w:rsidR="00314A8C" w:rsidRDefault="006D541F">
            <w:pPr>
              <w:pStyle w:val="a7"/>
              <w:spacing w:line="360" w:lineRule="auto"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Идентификатор операции – номер </w:t>
            </w:r>
            <w:r>
              <w:rPr>
                <w:color w:val="000000"/>
                <w:sz w:val="22"/>
                <w:szCs w:val="22"/>
              </w:rPr>
              <w:br/>
              <w:t>запроса по ОБДС (для банка получателя)</w:t>
            </w:r>
          </w:p>
        </w:tc>
      </w:tr>
      <w:tr w:rsidR="00314A8C" w14:paraId="271E12BB" w14:textId="77777777">
        <w:tc>
          <w:tcPr>
            <w:tcW w:w="1150" w:type="pct"/>
          </w:tcPr>
          <w:p w14:paraId="560BB3AD" w14:textId="77777777" w:rsidR="00314A8C" w:rsidRDefault="006D541F">
            <w:pPr>
              <w:pStyle w:val="a7"/>
              <w:spacing w:line="360" w:lineRule="auto"/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Банк ВТБ (ПАО)</w:t>
            </w:r>
          </w:p>
        </w:tc>
        <w:tc>
          <w:tcPr>
            <w:tcW w:w="1323" w:type="pct"/>
          </w:tcPr>
          <w:p w14:paraId="19F8C8BE" w14:textId="77777777" w:rsidR="00314A8C" w:rsidRDefault="006D541F">
            <w:pPr>
              <w:pStyle w:val="a7"/>
              <w:spacing w:line="360" w:lineRule="auto"/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REQ-20260813-9323</w:t>
            </w:r>
          </w:p>
        </w:tc>
        <w:tc>
          <w:tcPr>
            <w:tcW w:w="1107" w:type="pct"/>
          </w:tcPr>
          <w:p w14:paraId="7839F324" w14:textId="77777777" w:rsidR="00314A8C" w:rsidRDefault="006D541F">
            <w:pPr>
              <w:pStyle w:val="a7"/>
              <w:spacing w:line="360" w:lineRule="auto"/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Банк ВТБ (ПАО)</w:t>
            </w:r>
          </w:p>
        </w:tc>
        <w:tc>
          <w:tcPr>
            <w:tcW w:w="1420" w:type="pct"/>
          </w:tcPr>
          <w:p w14:paraId="6231AF47" w14:textId="77777777" w:rsidR="00314A8C" w:rsidRDefault="006D541F">
            <w:pPr>
              <w:pStyle w:val="a7"/>
              <w:spacing w:line="360" w:lineRule="auto"/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REQ-20260813-9330</w:t>
            </w:r>
          </w:p>
        </w:tc>
      </w:tr>
    </w:tbl>
    <w:p w14:paraId="47C164E7" w14:textId="77777777" w:rsidR="00314A8C" w:rsidRDefault="006D541F">
      <w:pPr>
        <w:pStyle w:val="a7"/>
        <w:spacing w:line="360" w:lineRule="auto"/>
        <w:rPr>
          <w:color w:val="000000"/>
        </w:rPr>
      </w:pPr>
      <w:r>
        <w:rPr>
          <w:color w:val="000000"/>
        </w:rPr>
        <w:t xml:space="preserve">Банк России запросил в соответствии с Указанием </w:t>
      </w:r>
      <w:r>
        <w:rPr>
          <w:color w:val="000000"/>
        </w:rPr>
        <w:br/>
        <w:t>Банка России № 6748-У</w:t>
      </w:r>
      <w:r>
        <w:rPr>
          <w:rStyle w:val="af6"/>
          <w:color w:val="000000"/>
        </w:rPr>
        <w:footnoteReference w:id="5"/>
      </w:r>
      <w:r>
        <w:rPr>
          <w:color w:val="000000"/>
        </w:rPr>
        <w:t xml:space="preserve"> у банка(</w:t>
      </w:r>
      <w:proofErr w:type="spellStart"/>
      <w:r>
        <w:rPr>
          <w:color w:val="000000"/>
        </w:rPr>
        <w:t>ов</w:t>
      </w:r>
      <w:proofErr w:type="spellEnd"/>
      <w:r>
        <w:rPr>
          <w:color w:val="000000"/>
        </w:rPr>
        <w:t xml:space="preserve">) информацию об обоснованности </w:t>
      </w:r>
      <w:r>
        <w:rPr>
          <w:color w:val="000000"/>
        </w:rPr>
        <w:lastRenderedPageBreak/>
        <w:t>(необоснованности) включения в базу данных сведений, представленных в заявлении.</w:t>
      </w:r>
    </w:p>
    <w:p w14:paraId="6148CB02" w14:textId="77777777" w:rsidR="00314A8C" w:rsidRDefault="006D541F">
      <w:pPr>
        <w:pStyle w:val="a7"/>
        <w:spacing w:line="360" w:lineRule="auto"/>
        <w:rPr>
          <w:color w:val="000000"/>
        </w:rPr>
      </w:pPr>
      <w:r>
        <w:rPr>
          <w:color w:val="000000"/>
        </w:rPr>
        <w:t>От банка(</w:t>
      </w:r>
      <w:proofErr w:type="spellStart"/>
      <w:r>
        <w:rPr>
          <w:color w:val="000000"/>
        </w:rPr>
        <w:t>ов</w:t>
      </w:r>
      <w:proofErr w:type="spellEnd"/>
      <w:r>
        <w:rPr>
          <w:color w:val="000000"/>
        </w:rPr>
        <w:t>)</w:t>
      </w:r>
      <w:r>
        <w:t xml:space="preserve"> (Банк ВТБ (ПАО)) получена </w:t>
      </w:r>
      <w:r>
        <w:rPr>
          <w:color w:val="000000"/>
        </w:rPr>
        <w:t>информация об обоснованности включения в базу данных сведений, представленных в заявлении.</w:t>
      </w:r>
    </w:p>
    <w:p w14:paraId="40A0E471" w14:textId="77777777" w:rsidR="00314A8C" w:rsidRDefault="006D541F">
      <w:pPr>
        <w:pStyle w:val="a7"/>
        <w:spacing w:line="360" w:lineRule="auto"/>
        <w:rPr>
          <w:color w:val="000000"/>
        </w:rPr>
      </w:pPr>
      <w:r>
        <w:rPr>
          <w:color w:val="000000"/>
        </w:rPr>
        <w:t xml:space="preserve">В связи с этим Банк России на основании Указания </w:t>
      </w:r>
      <w:r>
        <w:rPr>
          <w:color w:val="000000"/>
        </w:rPr>
        <w:br/>
        <w:t>Банка России № 6748-У принял мотивированное решение об отказе в удовлетворении заявления.</w:t>
      </w:r>
    </w:p>
    <w:p w14:paraId="77689F49" w14:textId="77777777" w:rsidR="00314A8C" w:rsidRDefault="006D541F">
      <w:pPr>
        <w:pStyle w:val="a7"/>
        <w:spacing w:line="360" w:lineRule="auto"/>
        <w:rPr>
          <w:b/>
          <w:color w:val="000000"/>
        </w:rPr>
      </w:pPr>
      <w:r>
        <w:rPr>
          <w:b/>
          <w:color w:val="000000"/>
        </w:rPr>
        <w:t>Для того чтобы исключить из базы данных сведения, представленные в заявлении, клиент вправе предпринять следующие действия:</w:t>
      </w:r>
    </w:p>
    <w:p w14:paraId="03B3A45E" w14:textId="77777777" w:rsidR="00314A8C" w:rsidRDefault="006D541F">
      <w:pPr>
        <w:pStyle w:val="af0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Возврат денежных средств плательщику. </w:t>
      </w:r>
      <w:r>
        <w:rPr>
          <w:rFonts w:ascii="Times New Roman" w:hAnsi="Times New Roman" w:cs="Times New Roman"/>
          <w:bCs/>
          <w:sz w:val="28"/>
          <w:szCs w:val="28"/>
        </w:rPr>
        <w:t>Для этого необходимо обратиться в банк, в котором клиент получил сумму ОБДС</w:t>
      </w:r>
      <w:r>
        <w:rPr>
          <w:rStyle w:val="af6"/>
          <w:rFonts w:ascii="Times New Roman" w:hAnsi="Times New Roman" w:cs="Times New Roman"/>
          <w:bCs/>
          <w:sz w:val="28"/>
          <w:szCs w:val="28"/>
        </w:rPr>
        <w:footnoteReference w:id="6"/>
      </w:r>
      <w:r>
        <w:rPr>
          <w:rFonts w:ascii="Times New Roman" w:hAnsi="Times New Roman" w:cs="Times New Roman"/>
          <w:bCs/>
          <w:sz w:val="28"/>
          <w:szCs w:val="28"/>
        </w:rPr>
        <w:t>, 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подать заявление об отказе от зачисления денежных средств в размере суммы ОБДС. </w:t>
      </w:r>
      <w:r>
        <w:rPr>
          <w:rFonts w:ascii="Times New Roman" w:hAnsi="Times New Roman" w:cs="Times New Roman"/>
          <w:bCs/>
          <w:sz w:val="28"/>
          <w:szCs w:val="28"/>
        </w:rPr>
        <w:br/>
        <w:t>Клиент может направить заявление:</w:t>
      </w:r>
    </w:p>
    <w:p w14:paraId="1DB54C8B" w14:textId="77777777" w:rsidR="00314A8C" w:rsidRDefault="006D541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ascii="Symbol" w:eastAsia="Symbol" w:hAnsi="Symbol" w:cs="Symbol"/>
          <w:bCs/>
          <w:sz w:val="28"/>
          <w:szCs w:val="28"/>
        </w:rPr>
        <w:t></w:t>
      </w:r>
      <w:r>
        <w:rPr>
          <w:bCs/>
          <w:sz w:val="28"/>
          <w:szCs w:val="28"/>
        </w:rPr>
        <w:t xml:space="preserve"> через онлайн-банк; </w:t>
      </w:r>
    </w:p>
    <w:p w14:paraId="4F463248" w14:textId="77777777" w:rsidR="00314A8C" w:rsidRDefault="006D541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ascii="Symbol" w:eastAsia="Symbol" w:hAnsi="Symbol" w:cs="Symbol"/>
          <w:bCs/>
          <w:sz w:val="28"/>
          <w:szCs w:val="28"/>
        </w:rPr>
        <w:t>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 телефону горячей линии;</w:t>
      </w:r>
    </w:p>
    <w:p w14:paraId="5303E06D" w14:textId="77777777" w:rsidR="00314A8C" w:rsidRDefault="006D541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ascii="Symbol" w:eastAsia="Symbol" w:hAnsi="Symbol" w:cs="Symbol"/>
          <w:bCs/>
          <w:sz w:val="28"/>
          <w:szCs w:val="28"/>
        </w:rPr>
        <w:t></w:t>
      </w:r>
      <w:r>
        <w:rPr>
          <w:bCs/>
          <w:sz w:val="28"/>
          <w:szCs w:val="28"/>
        </w:rPr>
        <w:t xml:space="preserve"> в отделении банка;</w:t>
      </w:r>
    </w:p>
    <w:p w14:paraId="56C5A17E" w14:textId="77777777" w:rsidR="00314A8C" w:rsidRDefault="006D541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ascii="Symbol" w:eastAsia="Symbol" w:hAnsi="Symbol" w:cs="Symbol"/>
          <w:bCs/>
          <w:sz w:val="28"/>
          <w:szCs w:val="28"/>
        </w:rPr>
        <w:t></w:t>
      </w:r>
      <w:r>
        <w:rPr>
          <w:bCs/>
          <w:sz w:val="28"/>
          <w:szCs w:val="28"/>
        </w:rPr>
        <w:t xml:space="preserve"> иным способом, предложенным банком.</w:t>
      </w:r>
    </w:p>
    <w:p w14:paraId="76D14E30" w14:textId="77777777" w:rsidR="00314A8C" w:rsidRDefault="006D541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 этом необходимо указать: </w:t>
      </w:r>
    </w:p>
    <w:p w14:paraId="56B18B76" w14:textId="77777777" w:rsidR="00314A8C" w:rsidRDefault="006D541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ascii="Symbol" w:eastAsia="Symbol" w:hAnsi="Symbol" w:cs="Symbol"/>
          <w:bCs/>
          <w:sz w:val="28"/>
          <w:szCs w:val="28"/>
        </w:rPr>
        <w:t></w:t>
      </w:r>
      <w:r>
        <w:rPr>
          <w:bCs/>
          <w:sz w:val="28"/>
          <w:szCs w:val="28"/>
        </w:rPr>
        <w:t xml:space="preserve"> номера запросов по ОБДС для банка получателя (столбец 4 таблицы), чтобы соответствующий(</w:t>
      </w:r>
      <w:proofErr w:type="spellStart"/>
      <w:r>
        <w:rPr>
          <w:bCs/>
          <w:sz w:val="28"/>
          <w:szCs w:val="28"/>
        </w:rPr>
        <w:t>ие</w:t>
      </w:r>
      <w:proofErr w:type="spellEnd"/>
      <w:r>
        <w:rPr>
          <w:bCs/>
          <w:sz w:val="28"/>
          <w:szCs w:val="28"/>
        </w:rPr>
        <w:t>) банк(и) смог(ли) идентифицировать ОБДС;</w:t>
      </w:r>
    </w:p>
    <w:p w14:paraId="744009CD" w14:textId="77777777" w:rsidR="00314A8C" w:rsidRDefault="006D541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ascii="Symbol" w:eastAsia="Symbol" w:hAnsi="Symbol" w:cs="Symbol"/>
          <w:bCs/>
          <w:sz w:val="28"/>
          <w:szCs w:val="28"/>
        </w:rPr>
        <w:t></w:t>
      </w:r>
      <w:r>
        <w:rPr>
          <w:bCs/>
          <w:sz w:val="28"/>
          <w:szCs w:val="28"/>
        </w:rPr>
        <w:t xml:space="preserve"> номера запросов по ОБДС для банка плательщика (столбец 2 таблицы), чтобы при получении возврата суммы ОБДС данный банк(и) смог(ли) идентифицировать ОБДС, по которой(</w:t>
      </w:r>
      <w:proofErr w:type="spellStart"/>
      <w:r>
        <w:rPr>
          <w:bCs/>
          <w:sz w:val="28"/>
          <w:szCs w:val="28"/>
        </w:rPr>
        <w:t>ым</w:t>
      </w:r>
      <w:proofErr w:type="spellEnd"/>
      <w:r>
        <w:rPr>
          <w:bCs/>
          <w:sz w:val="28"/>
          <w:szCs w:val="28"/>
        </w:rPr>
        <w:t xml:space="preserve">) произведен возврат. </w:t>
      </w:r>
    </w:p>
    <w:p w14:paraId="57C4F8CE" w14:textId="77777777" w:rsidR="00314A8C" w:rsidRDefault="006D541F">
      <w:pPr>
        <w:pStyle w:val="a7"/>
        <w:numPr>
          <w:ilvl w:val="0"/>
          <w:numId w:val="1"/>
        </w:numPr>
        <w:tabs>
          <w:tab w:val="left" w:pos="1134"/>
          <w:tab w:val="left" w:pos="1701"/>
        </w:tabs>
        <w:spacing w:line="360" w:lineRule="auto"/>
        <w:rPr>
          <w:b/>
          <w:color w:val="000000"/>
        </w:rPr>
      </w:pPr>
      <w:r>
        <w:rPr>
          <w:b/>
          <w:bCs/>
        </w:rPr>
        <w:lastRenderedPageBreak/>
        <w:t>П</w:t>
      </w:r>
      <w:r>
        <w:rPr>
          <w:b/>
          <w:bCs/>
        </w:rPr>
        <w:t xml:space="preserve">осле возврата денежных средств обратиться в банк плательщика. </w:t>
      </w:r>
      <w:r>
        <w:rPr>
          <w:bCs/>
        </w:rPr>
        <w:t xml:space="preserve">Банк плательщика обязан направить в Банк России информацию об исключении ОБДС из базы данных </w:t>
      </w:r>
      <w:r>
        <w:rPr>
          <w:color w:val="000000"/>
        </w:rPr>
        <w:t>на основании пункта 1.11 Указания Банка России № 7282-У</w:t>
      </w:r>
      <w:r>
        <w:rPr>
          <w:rStyle w:val="af6"/>
          <w:color w:val="000000"/>
        </w:rPr>
        <w:footnoteReference w:id="7"/>
      </w:r>
      <w:r>
        <w:rPr>
          <w:color w:val="000000"/>
        </w:rPr>
        <w:t>.</w:t>
      </w:r>
      <w:r>
        <w:rPr>
          <w:bCs/>
        </w:rPr>
        <w:t xml:space="preserve"> Для этого клиенту нужно обратиться в банк плательщика (указан в столбце 1 таблицы) и сообщить номера запросов по ОБДС банка плательщика (столбец 2 таблицы).</w:t>
      </w:r>
    </w:p>
    <w:p w14:paraId="3A89D014" w14:textId="22D169FF" w:rsidR="00314A8C" w:rsidRDefault="006D541F">
      <w:pPr>
        <w:pStyle w:val="1"/>
        <w:shd w:val="clear" w:color="auto" w:fill="auto"/>
        <w:ind w:firstLine="709"/>
        <w:jc w:val="both"/>
        <w:rPr>
          <w:bCs/>
        </w:rPr>
      </w:pPr>
      <w:r>
        <w:rPr>
          <w:b/>
          <w:bCs/>
        </w:rPr>
        <w:t xml:space="preserve">Если клиент не согласен с решением Банка России об отказе в удовлетворении заявления, клиент </w:t>
      </w:r>
      <w:r>
        <w:rPr>
          <w:b/>
          <w:bCs/>
        </w:rPr>
        <w:t>также вправе обратиться в суд, чтобы обжаловать указанное решение</w:t>
      </w:r>
      <w:r>
        <w:rPr>
          <w:rStyle w:val="af6"/>
          <w:b/>
          <w:bCs/>
        </w:rPr>
        <w:footnoteReference w:id="8"/>
      </w:r>
      <w:r>
        <w:rPr>
          <w:b/>
          <w:bCs/>
        </w:rPr>
        <w:t>.</w:t>
      </w:r>
      <w:r>
        <w:rPr>
          <w:bCs/>
        </w:rPr>
        <w:t xml:space="preserve"> </w:t>
      </w:r>
    </w:p>
    <w:p w14:paraId="0A618C90" w14:textId="77777777" w:rsidR="00B978ED" w:rsidRPr="00B978ED" w:rsidRDefault="00B978ED" w:rsidP="00B978ED">
      <w:pPr>
        <w:pStyle w:val="1"/>
        <w:ind w:firstLine="709"/>
        <w:jc w:val="both"/>
      </w:pPr>
      <w:r w:rsidRPr="00B978ED">
        <w:t xml:space="preserve">При этом обращение клиента в суд само по себе не является основанием для прекращения ранее установленных ограничений. До момента исключения соответствующих сведений из базы данных Банка России сохраняются ограничения на использование банковской карты, онлайн-банка и иных электронных средств платежа, предусмотренные Федеральным законом № 161-ФЗ «О национальной платежной системе». </w:t>
      </w:r>
    </w:p>
    <w:p w14:paraId="4CE68BFC" w14:textId="4DACF4BC" w:rsidR="00314A8C" w:rsidRDefault="00B978ED" w:rsidP="00B978ED">
      <w:pPr>
        <w:pStyle w:val="a7"/>
        <w:keepNext/>
        <w:spacing w:line="360" w:lineRule="auto"/>
        <w:rPr>
          <w:b/>
          <w:bCs/>
        </w:rPr>
      </w:pPr>
      <w:r>
        <w:t xml:space="preserve">          </w:t>
      </w:r>
      <w:r w:rsidR="006D541F">
        <w:t xml:space="preserve">Обращаем внимание, </w:t>
      </w:r>
      <w:r w:rsidRPr="00B978ED">
        <w:t xml:space="preserve">что в период действия указанных ограничений </w:t>
      </w:r>
      <w:r w:rsidRPr="00B978ED">
        <w:rPr>
          <w:b/>
          <w:bCs/>
        </w:rPr>
        <w:t xml:space="preserve">клиент не вправе распоряжаться денежными средствами на счете с использованием электронных средств платежа, в том числе осуществлять переводы и платежи через онлайн-банк, а также снимать наличные денежные средства с использованием банковской карты через банкоматы. Ограничения сохраняются до исключения соответствующих сведений из базы данных Банка России, в том числе в период судебного </w:t>
      </w:r>
      <w:r w:rsidRPr="00B978ED">
        <w:rPr>
          <w:b/>
          <w:bCs/>
        </w:rPr>
        <w:lastRenderedPageBreak/>
        <w:t>обжалования решения Банка России, если такое исключение не было произведено ранее.</w:t>
      </w:r>
    </w:p>
    <w:p w14:paraId="5872FFE2" w14:textId="5E3E3117" w:rsidR="00B978ED" w:rsidRDefault="00B978ED" w:rsidP="00B978ED">
      <w:pPr>
        <w:pStyle w:val="a7"/>
        <w:keepNext/>
        <w:spacing w:line="360" w:lineRule="auto"/>
      </w:pPr>
      <w:r w:rsidRPr="00B978ED">
        <w:t>При этом перед зачислением денег на счет клиента банк приостановит платеж и запросит у отправителя платежа подтверждение такой операции.</w:t>
      </w:r>
      <w:r w:rsidRPr="00B978ED">
        <w:br/>
        <w:t>В случае подтверждения ее совершения перевод будет осуществлен только через 2 дня.</w:t>
      </w:r>
    </w:p>
    <w:p w14:paraId="4A877E78" w14:textId="77777777" w:rsidR="00B978ED" w:rsidRPr="00B978ED" w:rsidRDefault="00B978ED" w:rsidP="00B978ED">
      <w:pPr>
        <w:pStyle w:val="a7"/>
        <w:keepNext/>
        <w:spacing w:line="360" w:lineRule="auto"/>
        <w:rPr>
          <w:b/>
          <w:bCs/>
        </w:rPr>
      </w:pPr>
    </w:p>
    <w:sectPr w:rsidR="00B978ED" w:rsidRPr="00B978ED">
      <w:headerReference w:type="default" r:id="rId10"/>
      <w:footerReference w:type="default" r:id="rId11"/>
      <w:headerReference w:type="first" r:id="rId12"/>
      <w:pgSz w:w="11906" w:h="16838"/>
      <w:pgMar w:top="1134" w:right="851" w:bottom="1134" w:left="1701" w:header="425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BA3EF" w14:textId="77777777" w:rsidR="00314A8C" w:rsidRDefault="006D541F">
      <w:r>
        <w:separator/>
      </w:r>
    </w:p>
  </w:endnote>
  <w:endnote w:type="continuationSeparator" w:id="0">
    <w:p w14:paraId="283FED88" w14:textId="77777777" w:rsidR="00314A8C" w:rsidRDefault="006D5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D68FB" w14:textId="77777777" w:rsidR="00314A8C" w:rsidRDefault="00314A8C">
    <w:pPr>
      <w:pStyle w:val="a5"/>
      <w:rPr>
        <w:color w:val="000000" w:themeColor="text1"/>
        <w:sz w:val="20"/>
        <w:szCs w:val="20"/>
      </w:rPr>
    </w:pPr>
  </w:p>
  <w:p w14:paraId="31011EA8" w14:textId="77777777" w:rsidR="00314A8C" w:rsidRDefault="00314A8C">
    <w:pPr>
      <w:pStyle w:val="a5"/>
      <w:rPr>
        <w:color w:val="000000" w:themeColor="text1"/>
        <w:sz w:val="20"/>
        <w:szCs w:val="20"/>
      </w:rPr>
    </w:pPr>
  </w:p>
  <w:p w14:paraId="1301D2B9" w14:textId="77777777" w:rsidR="00314A8C" w:rsidRDefault="00314A8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6CAD8" w14:textId="77777777" w:rsidR="00314A8C" w:rsidRDefault="006D541F">
      <w:r>
        <w:separator/>
      </w:r>
    </w:p>
  </w:footnote>
  <w:footnote w:type="continuationSeparator" w:id="0">
    <w:p w14:paraId="085B50C0" w14:textId="77777777" w:rsidR="00314A8C" w:rsidRDefault="006D541F">
      <w:r>
        <w:continuationSeparator/>
      </w:r>
    </w:p>
  </w:footnote>
  <w:footnote w:id="1">
    <w:p w14:paraId="7E4FCE01" w14:textId="77777777" w:rsidR="00314A8C" w:rsidRDefault="006D541F">
      <w:pPr>
        <w:pStyle w:val="a8"/>
        <w:ind w:firstLine="709"/>
        <w:jc w:val="both"/>
      </w:pPr>
      <w:r>
        <w:rPr>
          <w:rStyle w:val="af6"/>
        </w:rPr>
        <w:footnoteRef/>
      </w:r>
      <w:r>
        <w:t xml:space="preserve"> Заявление об исключении сведений о клиенте банка из базы данных о случаях и попытках осуществления переводов денежных средств без добровольного согласия клиента (далее соответственно – база данных, заявление).</w:t>
      </w:r>
    </w:p>
  </w:footnote>
  <w:footnote w:id="2">
    <w:p w14:paraId="569EFEBD" w14:textId="77777777" w:rsidR="00314A8C" w:rsidRDefault="006D541F">
      <w:pPr>
        <w:pStyle w:val="a8"/>
        <w:ind w:firstLine="709"/>
        <w:jc w:val="both"/>
      </w:pPr>
      <w:r>
        <w:rPr>
          <w:rStyle w:val="af6"/>
        </w:rPr>
        <w:footnoteRef/>
      </w:r>
      <w:r>
        <w:t xml:space="preserve"> Операция(и) без добровольного согласия клиента.</w:t>
      </w:r>
    </w:p>
  </w:footnote>
  <w:footnote w:id="3">
    <w:p w14:paraId="2C9F7499" w14:textId="77777777" w:rsidR="00314A8C" w:rsidRDefault="006D541F">
      <w:pPr>
        <w:pStyle w:val="a8"/>
        <w:ind w:firstLine="709"/>
        <w:jc w:val="both"/>
      </w:pPr>
      <w:r>
        <w:rPr>
          <w:rStyle w:val="af6"/>
        </w:rPr>
        <w:footnoteRef/>
      </w:r>
      <w:r>
        <w:t xml:space="preserve"> Банк, откуда поступила сумма ОБДС на счет клиента.</w:t>
      </w:r>
    </w:p>
  </w:footnote>
  <w:footnote w:id="4">
    <w:p w14:paraId="7C48E68C" w14:textId="77777777" w:rsidR="00314A8C" w:rsidRDefault="006D541F">
      <w:pPr>
        <w:pStyle w:val="a8"/>
        <w:ind w:firstLine="709"/>
        <w:jc w:val="both"/>
      </w:pPr>
      <w:r>
        <w:rPr>
          <w:rStyle w:val="af6"/>
        </w:rPr>
        <w:footnoteRef/>
      </w:r>
      <w:r>
        <w:t xml:space="preserve"> Банк, в котором клиент являлся получателем суммы ОБДС.</w:t>
      </w:r>
    </w:p>
  </w:footnote>
  <w:footnote w:id="5">
    <w:p w14:paraId="13C18851" w14:textId="77777777" w:rsidR="00314A8C" w:rsidRDefault="006D541F">
      <w:pPr>
        <w:pStyle w:val="a8"/>
        <w:ind w:firstLine="709"/>
        <w:jc w:val="both"/>
      </w:pPr>
      <w:r>
        <w:rPr>
          <w:rStyle w:val="af6"/>
        </w:rPr>
        <w:footnoteRef/>
      </w:r>
      <w:r>
        <w:t xml:space="preserve"> Указание Банка России от 13.06.2024 № 6748-У «О порядке подачи клиентом оператора по переводу денежных средств в Банк России заявления об исключении сведений, относящихся к клиенту и (или) его электронному средству платежа, из базы данных о случаях и попытках осуществления переводов денежных средств без добровольного согласия клиента, порядке принятия Банком России мотивированного решения об удовлетворении или об отказе в удовлетворении заявления клиента оператора по переводу денежных средств или мотивиров</w:t>
      </w:r>
      <w:r>
        <w:t xml:space="preserve">анного заявления оператора по переводу денежных средств об исключении сведений, относящихся к клиенту и (или) его электронному средству платежа, из базы данных о случаях и попытках осуществления переводов денежных средств без добровольного согласия клиента и порядке получения оператором по переводу денежных средств информации об исключении сведений, относящихся к клиенту </w:t>
      </w:r>
      <w:r>
        <w:br/>
        <w:t>и (или) его электронному средству платежа, из базы данных о случаях и попытках осуществления переводов денежных средств без добровольного</w:t>
      </w:r>
      <w:r>
        <w:t xml:space="preserve"> согласия клиента».</w:t>
      </w:r>
    </w:p>
  </w:footnote>
  <w:footnote w:id="6">
    <w:p w14:paraId="02973DDB" w14:textId="77777777" w:rsidR="00314A8C" w:rsidRDefault="006D541F">
      <w:pPr>
        <w:pStyle w:val="a8"/>
        <w:ind w:firstLine="709"/>
        <w:jc w:val="both"/>
      </w:pPr>
      <w:r>
        <w:rPr>
          <w:rStyle w:val="af6"/>
        </w:rPr>
        <w:footnoteRef/>
      </w:r>
      <w:r>
        <w:t xml:space="preserve"> </w:t>
      </w:r>
      <w:r>
        <w:rPr>
          <w:bCs/>
        </w:rPr>
        <w:t>Банк получателя, который указан в столбце 3 таблицы.</w:t>
      </w:r>
    </w:p>
  </w:footnote>
  <w:footnote w:id="7">
    <w:p w14:paraId="7F2CB766" w14:textId="77777777" w:rsidR="00314A8C" w:rsidRDefault="006D541F">
      <w:pPr>
        <w:pStyle w:val="a8"/>
        <w:ind w:firstLine="709"/>
        <w:jc w:val="both"/>
      </w:pPr>
      <w:r>
        <w:rPr>
          <w:rStyle w:val="af6"/>
        </w:rPr>
        <w:footnoteRef/>
      </w:r>
      <w:r>
        <w:t xml:space="preserve"> Указание Банка России от 13.01.2026 № 7282-У «Об установлении Банком России порядков, предусмотренных частью четвертой статьи 24</w:t>
      </w:r>
      <w:r>
        <w:rPr>
          <w:vertAlign w:val="superscript"/>
        </w:rPr>
        <w:t>3</w:t>
      </w:r>
      <w:r>
        <w:t xml:space="preserve"> Федерального закона «О банках и банковской деятельности» (в редакции Федерального закона от 3 февраля 1996 года № 17-ФЗ), частями 11–13 статьи 9 Федерального закона от 2 июля 2010 года № 151-ФЗ «О микрофинансовой деятельности и микрофинансовых организациях», частями 4, 6, 7 статьи 27 Федерального закона от 27 июня 2011 года № 161-ФЗ «О национальной платежной системе».</w:t>
      </w:r>
    </w:p>
  </w:footnote>
  <w:footnote w:id="8">
    <w:p w14:paraId="7184B0C6" w14:textId="77777777" w:rsidR="00314A8C" w:rsidRDefault="006D541F">
      <w:pPr>
        <w:pStyle w:val="a8"/>
        <w:ind w:firstLine="709"/>
        <w:jc w:val="both"/>
        <w:rPr>
          <w:bCs/>
        </w:rPr>
      </w:pPr>
      <w:r>
        <w:rPr>
          <w:rStyle w:val="af6"/>
        </w:rPr>
        <w:footnoteRef/>
      </w:r>
      <w:r>
        <w:t xml:space="preserve"> Ч</w:t>
      </w:r>
      <w:r>
        <w:rPr>
          <w:bCs/>
        </w:rPr>
        <w:t>асть 11.10 статьи 9 Федерального закона от 27.06.2011 № 161-ФЗ «О национальной платежной системе».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99E1A" w14:textId="77777777" w:rsidR="00314A8C" w:rsidRDefault="006D541F">
    <w:pPr>
      <w:pStyle w:val="a3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   \* MERGEFORMAT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#</w:t>
    </w:r>
    <w:r>
      <w:rPr>
        <w:sz w:val="20"/>
        <w:szCs w:val="20"/>
      </w:rPr>
      <w:fldChar w:fldCharType="end"/>
    </w:r>
  </w:p>
  <w:p w14:paraId="4602ED3D" w14:textId="77777777" w:rsidR="00314A8C" w:rsidRDefault="00314A8C">
    <w:pPr>
      <w:pStyle w:val="a3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ACF1F" w14:textId="77777777" w:rsidR="00314A8C" w:rsidRDefault="00314A8C">
    <w:pPr>
      <w:ind w:firstLine="5387"/>
      <w:rPr>
        <w:sz w:val="24"/>
      </w:rPr>
    </w:pPr>
  </w:p>
  <w:p w14:paraId="6708BD30" w14:textId="77777777" w:rsidR="00314A8C" w:rsidRDefault="00314A8C">
    <w:pPr>
      <w:ind w:firstLine="552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C14F9"/>
    <w:multiLevelType w:val="multilevel"/>
    <w:tmpl w:val="AFE0C2C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 w16cid:durableId="196741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A8C"/>
    <w:rsid w:val="000C7337"/>
    <w:rsid w:val="00314A8C"/>
    <w:rsid w:val="006D541F"/>
    <w:rsid w:val="00931D68"/>
    <w:rsid w:val="00995907"/>
    <w:rsid w:val="00A2306C"/>
    <w:rsid w:val="00B978ED"/>
    <w:rsid w:val="00C1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1087A"/>
  <w15:docId w15:val="{2E840933-FAB3-4ACA-BEE1-4B0C5A61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tabs>
        <w:tab w:val="left" w:pos="1134"/>
      </w:tabs>
      <w:jc w:val="center"/>
      <w:outlineLvl w:val="2"/>
    </w:pPr>
    <w:rPr>
      <w:sz w:val="24"/>
      <w:szCs w:val="20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pPr>
      <w:tabs>
        <w:tab w:val="center" w:pos="4677"/>
        <w:tab w:val="right" w:pos="9355"/>
      </w:tabs>
    </w:pPr>
  </w:style>
  <w:style w:type="paragraph" w:customStyle="1" w:styleId="a7">
    <w:name w:val="Текст письма"/>
    <w:basedOn w:val="a"/>
    <w:qFormat/>
    <w:pPr>
      <w:spacing w:line="336" w:lineRule="auto"/>
      <w:ind w:firstLine="709"/>
      <w:jc w:val="both"/>
    </w:pPr>
    <w:rPr>
      <w:sz w:val="28"/>
      <w:szCs w:val="28"/>
    </w:rPr>
  </w:style>
  <w:style w:type="paragraph" w:styleId="a8">
    <w:name w:val="footnote text"/>
    <w:basedOn w:val="a"/>
    <w:link w:val="a9"/>
    <w:qFormat/>
    <w:rPr>
      <w:sz w:val="20"/>
      <w:szCs w:val="20"/>
    </w:rPr>
  </w:style>
  <w:style w:type="paragraph" w:styleId="aa">
    <w:name w:val="Balloon Text"/>
    <w:basedOn w:val="a"/>
    <w:link w:val="ab"/>
    <w:semiHidden/>
    <w:rPr>
      <w:rFonts w:ascii="Segoe UI" w:hAnsi="Segoe UI" w:cs="Segoe UI"/>
      <w:sz w:val="18"/>
      <w:szCs w:val="18"/>
    </w:rPr>
  </w:style>
  <w:style w:type="paragraph" w:styleId="ac">
    <w:name w:val="annotation text"/>
    <w:basedOn w:val="a"/>
    <w:link w:val="ad"/>
    <w:semiHidden/>
    <w:rPr>
      <w:sz w:val="20"/>
      <w:szCs w:val="20"/>
    </w:rPr>
  </w:style>
  <w:style w:type="paragraph" w:styleId="ae">
    <w:name w:val="annotation subject"/>
    <w:basedOn w:val="ac"/>
    <w:next w:val="ac"/>
    <w:link w:val="af"/>
    <w:semiHidden/>
    <w:rPr>
      <w:b/>
      <w:bCs/>
    </w:rPr>
  </w:style>
  <w:style w:type="paragraph" w:styleId="af0">
    <w:name w:val="List Paragraph"/>
    <w:basedOn w:val="a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">
    <w:name w:val="Основной текст1"/>
    <w:basedOn w:val="a"/>
    <w:link w:val="af1"/>
    <w:pPr>
      <w:widowControl w:val="0"/>
      <w:shd w:val="clear" w:color="auto" w:fill="FFFFFF"/>
      <w:spacing w:line="360" w:lineRule="auto"/>
      <w:ind w:firstLine="400"/>
    </w:pPr>
    <w:rPr>
      <w:sz w:val="28"/>
      <w:szCs w:val="28"/>
      <w:lang w:eastAsia="en-US"/>
    </w:rPr>
  </w:style>
  <w:style w:type="paragraph" w:styleId="af2">
    <w:name w:val="endnote text"/>
    <w:link w:val="af3"/>
    <w:semiHidden/>
    <w:pPr>
      <w:spacing w:after="0" w:line="240" w:lineRule="auto"/>
    </w:pPr>
    <w:rPr>
      <w:sz w:val="20"/>
      <w:szCs w:val="20"/>
    </w:rPr>
  </w:style>
  <w:style w:type="character" w:styleId="af4">
    <w:name w:val="line number"/>
    <w:basedOn w:val="a0"/>
    <w:semiHidden/>
  </w:style>
  <w:style w:type="character" w:styleId="af5">
    <w:name w:val="Hyperlink"/>
    <w:rPr>
      <w:color w:val="0000FF"/>
      <w:u w:val="single"/>
    </w:rPr>
  </w:style>
  <w:style w:type="character" w:customStyle="1" w:styleId="30">
    <w:name w:val="Заголовок 3 Знак"/>
    <w:basedOn w:val="a0"/>
    <w:link w:val="3"/>
    <w:rPr>
      <w:sz w:val="24"/>
      <w:szCs w:val="20"/>
      <w:lang w:eastAsia="en-US"/>
    </w:rPr>
  </w:style>
  <w:style w:type="character" w:customStyle="1" w:styleId="a4">
    <w:name w:val="Верхний колонтитул Знак"/>
    <w:basedOn w:val="a0"/>
    <w:link w:val="a3"/>
  </w:style>
  <w:style w:type="character" w:customStyle="1" w:styleId="a6">
    <w:name w:val="Нижний колонтитул Знак"/>
    <w:basedOn w:val="a0"/>
    <w:link w:val="a5"/>
  </w:style>
  <w:style w:type="character" w:customStyle="1" w:styleId="a9">
    <w:name w:val="Текст сноски Знак"/>
    <w:basedOn w:val="a0"/>
    <w:link w:val="a8"/>
    <w:rPr>
      <w:sz w:val="20"/>
      <w:szCs w:val="20"/>
    </w:rPr>
  </w:style>
  <w:style w:type="character" w:styleId="af6">
    <w:name w:val="footnote reference"/>
    <w:basedOn w:val="a0"/>
    <w:semiHidden/>
    <w:rPr>
      <w:vertAlign w:val="superscript"/>
    </w:rPr>
  </w:style>
  <w:style w:type="character" w:customStyle="1" w:styleId="ab">
    <w:name w:val="Текст выноски Знак"/>
    <w:basedOn w:val="a0"/>
    <w:link w:val="aa"/>
    <w:semiHidden/>
    <w:rPr>
      <w:rFonts w:ascii="Segoe UI" w:hAnsi="Segoe UI" w:cs="Segoe UI"/>
      <w:sz w:val="18"/>
      <w:szCs w:val="18"/>
    </w:rPr>
  </w:style>
  <w:style w:type="character" w:styleId="af7">
    <w:name w:val="annotation reference"/>
    <w:basedOn w:val="a0"/>
    <w:semiHidden/>
    <w:rPr>
      <w:sz w:val="16"/>
      <w:szCs w:val="16"/>
    </w:rPr>
  </w:style>
  <w:style w:type="character" w:customStyle="1" w:styleId="ad">
    <w:name w:val="Текст примечания Знак"/>
    <w:basedOn w:val="a0"/>
    <w:link w:val="ac"/>
    <w:semiHidden/>
    <w:rPr>
      <w:sz w:val="20"/>
      <w:szCs w:val="20"/>
    </w:rPr>
  </w:style>
  <w:style w:type="character" w:customStyle="1" w:styleId="af">
    <w:name w:val="Тема примечания Знак"/>
    <w:basedOn w:val="ad"/>
    <w:link w:val="ae"/>
    <w:semiHidden/>
    <w:rPr>
      <w:b/>
      <w:bCs/>
      <w:sz w:val="20"/>
      <w:szCs w:val="20"/>
    </w:rPr>
  </w:style>
  <w:style w:type="character" w:customStyle="1" w:styleId="af1">
    <w:name w:val="Основной текст_"/>
    <w:basedOn w:val="a0"/>
    <w:link w:val="1"/>
    <w:rPr>
      <w:sz w:val="28"/>
      <w:szCs w:val="28"/>
      <w:lang w:eastAsia="en-US"/>
    </w:rPr>
  </w:style>
  <w:style w:type="character" w:customStyle="1" w:styleId="FootnoteTextChar">
    <w:name w:val="Footnote Text Char"/>
    <w:semiHidden/>
    <w:rPr>
      <w:sz w:val="20"/>
      <w:szCs w:val="20"/>
    </w:rPr>
  </w:style>
  <w:style w:type="character" w:styleId="af8">
    <w:name w:val="endnote reference"/>
    <w:semiHidden/>
    <w:rPr>
      <w:vertAlign w:val="superscript"/>
    </w:rPr>
  </w:style>
  <w:style w:type="character" w:customStyle="1" w:styleId="af3">
    <w:name w:val="Текст концевой сноски Знак"/>
    <w:link w:val="af2"/>
    <w:semiHidden/>
    <w:rPr>
      <w:sz w:val="20"/>
      <w:szCs w:val="20"/>
    </w:r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9">
    <w:name w:val="Table Grid"/>
    <w:basedOn w:val="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cbr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B3CF2-671B-45DA-A72A-132A6E267B98}">
  <ds:schemaRefs>
    <ds:schemaRef ds:uri="http://schemas.microsoft.com/vsto/samples"/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Вишнякова Евгения Олеговна</dc:creator>
  <cp:lastModifiedBy>Роман Меликов</cp:lastModifiedBy>
  <cp:revision>2</cp:revision>
  <cp:lastPrinted>2025-10-06T10:13:00Z</cp:lastPrinted>
  <dcterms:created xsi:type="dcterms:W3CDTF">2026-09-07T15:25:00Z</dcterms:created>
  <dcterms:modified xsi:type="dcterms:W3CDTF">2026-09-07T15:25:00Z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gNom">
    <vt:lpwstr>Рег. №</vt:lpwstr>
  </property>
  <property fmtid="{D5CDD505-2E9C-101B-9397-08002B2CF9AE}" pid="3" name="DataReg">
    <vt:lpwstr>Дата рег.</vt:lpwstr>
  </property>
  <property fmtid="{D5CDD505-2E9C-101B-9397-08002B2CF9AE}" pid="4" name="Status">
    <vt:lpwstr/>
  </property>
  <property fmtid="{D5CDD505-2E9C-101B-9397-08002B2CF9AE}" pid="5" name="Shablon">
    <vt:lpwstr/>
  </property>
  <property fmtid="{D5CDD505-2E9C-101B-9397-08002B2CF9AE}" pid="6" name="BankNegativ">
    <vt:lpwstr>Банк который ответил негативом</vt:lpwstr>
  </property>
  <property fmtid="{D5CDD505-2E9C-101B-9397-08002B2CF9AE}" pid="7" name="BankNetOtveta">
    <vt:lpwstr/>
  </property>
  <property fmtid="{D5CDD505-2E9C-101B-9397-08002B2CF9AE}" pid="8" name="Operator">
    <vt:lpwstr/>
  </property>
  <property fmtid="{D5CDD505-2E9C-101B-9397-08002B2CF9AE}" pid="9" name="NomerREQ">
    <vt:lpwstr>Номер REQ</vt:lpwstr>
  </property>
  <property fmtid="{D5CDD505-2E9C-101B-9397-08002B2CF9AE}" pid="10" name="FIOklienta">
    <vt:lpwstr/>
  </property>
  <property fmtid="{D5CDD505-2E9C-101B-9397-08002B2CF9AE}" pid="11" name="BankBank">
    <vt:lpwstr/>
  </property>
</Properties>
</file>