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Универсал Привалова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48736707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