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Сз УРАЛ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146805374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