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DEKLARACJA DOSTĘPNOŚCI</w:t>
      </w:r>
    </w:p>
    <w:p>
      <w:r>
        <w:rPr>
          <w:i/>
          <w:sz w:val="18"/>
        </w:rPr>
        <w:t>Страница: https://lapetitebloom.com/deklaracja-dostepnosci</w:t>
      </w:r>
    </w:p>
    <w:p>
      <w:r>
        <w:t>Sklep internetowy La Petite Bloom · LPB Sp. z o.o. · data publikacji 01.09.2026</w:t>
      </w:r>
    </w:p>
    <w:p>
      <w:r>
        <w:t>LPB Sp. z o.o. (sklep internetowy La Petite Bloom) dokłada starań, aby strona była dostępna dla jak najszerszego grona użytkowników, w tym osób ze szczególnymi potrzebami.</w:t>
      </w:r>
    </w:p>
    <w:p>
      <w:pPr>
        <w:pStyle w:val="Heading1"/>
      </w:pPr>
      <w:r>
        <w:t>Status zgodności</w:t>
      </w:r>
    </w:p>
    <w:p>
      <w:r>
        <w:t>Dążymy do zgodności ze standardem WCAG 2.1 na poziomie AA. Jako mikroprzedsiębiorca nie jesteśmy prawnie zobowiązani do spełnienia wymogów Europejskiego Aktu o Dostępności, jednak dobrowolnie podejmujemy działania na rzecz poprawy dostępności.</w:t>
      </w:r>
    </w:p>
    <w:p>
      <w:pPr>
        <w:pStyle w:val="Heading1"/>
      </w:pPr>
      <w:r>
        <w:t>Znane ograniczenia</w:t>
      </w:r>
    </w:p>
    <w:p>
      <w:r>
        <w:t>Niektóre elementy strony mogą nie spełniać jeszcze wszystkich kryteriów dostępności. Pracujemy nad ich sukcesywną poprawą.</w:t>
      </w:r>
    </w:p>
    <w:p>
      <w:pPr>
        <w:pStyle w:val="Heading1"/>
      </w:pPr>
      <w:r>
        <w:t>Informacje zwrotne i kontakt</w:t>
      </w:r>
    </w:p>
    <w:p>
      <w:r>
        <w:t>Uwagi dotyczące dostępności oraz prośby o udostępnienie informacji w alternatywnej formie prosimy kierować na adres: hello@lapetitebloom.com. Postaramy się rozwiązać zgłoszony problem w rozsądnym terminie.</w:t>
      </w:r>
    </w:p>
    <w:p>
      <w:pPr>
        <w:pStyle w:val="Heading1"/>
      </w:pPr>
      <w:r>
        <w:t>Data</w:t>
      </w:r>
    </w:p>
    <w:p>
      <w:r>
        <w:t>Deklaracja sporządzona dnia 01.09.2026; będzie aktualizowana w miarę wprowadzania zmian.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