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Una idea que cambia de canción</w:t>
      </w:r>
    </w:p>
    <w:p>
      <w:r>
        <w:t>Apunte para estudiantes  |  Datos, análisis y visualización a partir de Betty</w:t>
      </w:r>
    </w:p>
    <w:p>
      <w:r>
        <w:t>Una mujer capaz entra en un mundo que la juzga por su apariencia. Esa tensión sostiene la historia de Betty en distintas adaptaciones. Pero una apertura puede presentar primero el rumor sobre ella, otra su singularidad y otra la necesidad de responder. La música, las palabras y las imágenes preparan una lectura de la protagonista antes de que comience el episodio. Esta comparación nos atrae porque conocemos la idea común y reconocemos mensajes distintos.</w:t>
      </w:r>
    </w:p>
    <w:p>
      <w:pPr>
        <w:pStyle w:val="Heading1"/>
      </w:pPr>
      <w:r>
        <w:t>La pregunta que une las canciones</w:t>
      </w:r>
    </w:p>
    <w:p>
      <w:r>
        <w:t>¿Cómo se transforma una misma idea narrativa en mensajes de apertura distintos? Para responder no basta con decir que “cambiaron la canción”. Debemos identificar qué se eligió decir, desde qué voz, con qué recurso verbal, cómo suena y qué muestran las imágenes. Las seis aperturas siguientes forman un corpus de trabajo intencional; el año es el estreno de la adaptación, no necesariamente el de composición del tema.</w:t>
      </w:r>
    </w:p>
    <w:tbl>
      <w:tblPr>
        <w:tblW w:type="auto" w:w="0"/>
        <w:jc w:val="center"/>
        <w:tblLook w:firstColumn="1" w:firstRow="1" w:lastColumn="0" w:lastRow="0" w:noHBand="0" w:noVBand="1" w:val="04A0"/>
      </w:tblPr>
      <w:tblGrid>
        <w:gridCol w:w="3360"/>
        <w:gridCol w:w="3360"/>
        <w:gridCol w:w="3360"/>
      </w:tblGrid>
      <w:tr>
        <w:trPr>
          <w:tblHeader/>
        </w:trPr>
        <w:tc>
          <w:tcPr>
            <w:tcW w:type="dxa" w:w="1584"/>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Versión</w:t>
            </w:r>
          </w:p>
        </w:tc>
        <w:tc>
          <w:tcPr>
            <w:tcW w:type="dxa" w:w="3312"/>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Canción o tema identificado</w:t>
            </w:r>
          </w:p>
        </w:tc>
        <w:tc>
          <w:tcPr>
            <w:tcW w:type="dxa" w:w="5184"/>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Puerta de entrada al relato</w:t>
            </w:r>
          </w:p>
        </w:tc>
      </w:tr>
      <w:tr>
        <w:tc>
          <w:tcPr>
            <w:tcW w:type="dxa" w:w="15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Colombia 1999</w:t>
            </w:r>
          </w:p>
        </w:tc>
        <w:tc>
          <w:tcPr>
            <w:tcW w:type="dxa" w:w="331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Yo soy Betty, la fea — Se dice de mí, Yolanda Rayo</w:t>
            </w:r>
          </w:p>
        </w:tc>
        <w:tc>
          <w:tcPr>
            <w:tcW w:type="dxa" w:w="51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La frase anuncia que otros hablan y juzgan; introduce la tensión entre voz propia y mirada ajena [1].</w:t>
            </w:r>
          </w:p>
        </w:tc>
      </w:tr>
      <w:tr>
        <w:tc>
          <w:tcPr>
            <w:tcW w:type="dxa" w:w="158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India 2003</w:t>
            </w:r>
          </w:p>
        </w:tc>
        <w:tc>
          <w:tcPr>
            <w:tcW w:type="dxa" w:w="331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Jassi Jaissi Koi Nahin — tema titular, Shaan</w:t>
            </w:r>
          </w:p>
        </w:tc>
        <w:tc>
          <w:tcPr>
            <w:tcW w:type="dxa" w:w="518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La afirmación “no hay nadie como Jassi” instala la singularidad de la protagonista [2].</w:t>
            </w:r>
          </w:p>
        </w:tc>
      </w:tr>
      <w:tr>
        <w:tc>
          <w:tcPr>
            <w:tcW w:type="dxa" w:w="15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México 2006</w:t>
            </w:r>
          </w:p>
        </w:tc>
        <w:tc>
          <w:tcPr>
            <w:tcW w:type="dxa" w:w="331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La fea más bella — tema homónimo, Margarita y Jorge Villamizar</w:t>
            </w:r>
          </w:p>
        </w:tc>
        <w:tc>
          <w:tcPr>
            <w:tcW w:type="dxa" w:w="51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El título sostiene dos juicios aparentemente incompatibles y pide reconsiderar la etiqueta [3].</w:t>
            </w:r>
          </w:p>
        </w:tc>
      </w:tr>
      <w:tr>
        <w:tc>
          <w:tcPr>
            <w:tcW w:type="dxa" w:w="158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España 2006</w:t>
            </w:r>
          </w:p>
        </w:tc>
        <w:tc>
          <w:tcPr>
            <w:tcW w:type="dxa" w:w="331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Yo soy Bea — Te falta veneno, Edurne</w:t>
            </w:r>
          </w:p>
        </w:tc>
        <w:tc>
          <w:tcPr>
            <w:tcW w:type="dxa" w:w="518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La sintonía interpela a Bea; su lanzamiento la relaciona con el coraje ante situaciones difíciles [4].</w:t>
            </w:r>
          </w:p>
        </w:tc>
      </w:tr>
      <w:tr>
        <w:tc>
          <w:tcPr>
            <w:tcW w:type="dxa" w:w="15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EE. UU. 2006</w:t>
            </w:r>
          </w:p>
        </w:tc>
        <w:tc>
          <w:tcPr>
            <w:tcW w:type="dxa" w:w="331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Ugly Betty — Main Title Theme, Jeff Beal</w:t>
            </w:r>
          </w:p>
        </w:tc>
        <w:tc>
          <w:tcPr>
            <w:tcW w:type="dxa" w:w="51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El título de la serie conserva la etiqueta directa; el catálogo identifica un tema musical principal, sin autorizar atribuirle una letra [5].</w:t>
            </w:r>
          </w:p>
        </w:tc>
      </w:tr>
      <w:tr>
        <w:tc>
          <w:tcPr>
            <w:tcW w:type="dxa" w:w="158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Brasil 2009</w:t>
            </w:r>
          </w:p>
        </w:tc>
        <w:tc>
          <w:tcPr>
            <w:tcW w:type="dxa" w:w="331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Bela, a Feia — tema homónimo, Roger Moreira y Gasperini</w:t>
            </w:r>
          </w:p>
        </w:tc>
        <w:tc>
          <w:tcPr>
            <w:tcW w:type="dxa" w:w="518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El contraste entre “bella” y “fea” vuelve a poner el juicio estético en primer plano [6].</w:t>
            </w:r>
          </w:p>
        </w:tc>
      </w:tr>
    </w:tbl>
    <w:p>
      <w:pPr>
        <w:spacing w:after="0"/>
      </w:pPr>
    </w:p>
    <w:p>
      <w:r>
        <w:t>Lo observado aquí son títulos, años y vínculos documentados con series y temas musicales; las “puertas de entrada” son interpretaciones de esas pistas. En México verificamos el tema en el álbum de la serie, aunque falta cotejar qué edición concreta lo usa en la cabecera. “No existen las feas” circula asociada con Betty, pero no se verificó como apertura mexicana; mezclarla con los seis casos alteraría el corpus [3, 7].</w:t>
      </w:r>
    </w:p>
    <w:p>
      <w:pPr>
        <w:pStyle w:val="Heading1"/>
      </w:pPr>
      <w:r>
        <w:t>El mensaje no está solo en la letra</w:t>
      </w:r>
    </w:p>
    <w:p>
      <w:r>
        <w:t>La apertura es una construcción audiovisual. Su mensaje emerge de la relación entre palabras, ritmo, voz, silencios, edición y acciones visibles. Una misma frase puede sonar irónica, afectuosa o desafiante según el arreglo y la escena. Por eso distinguimos lo documentado de lo que requeriría escuchar y observar una copia exacta de cada cabecera. El tema estadounidense permite ver el caso inverso: un título contiene una etiqueta, mientras una pieza instrumental puede proponer un tono sin palabras. No inventamos un significado acústico que aún no medimos.</w:t>
      </w:r>
    </w:p>
    <w:p>
      <w:r>
        <w:t>La comparación sugiere una hipótesis interesante: el conflicto narrativo compartido admite distintas entradas. Colombia coloca en escena la opinión de los demás; India presenta a Jassi como irrepetible; México y Brasil hacen chocar categorías de belleza; España desplaza el énfasis hacia la respuesta de Bea. Esto no demuestra que “cada país piense así”. Cada elección es una decisión creativa de una producción situada, y haría falta estudiar escenas y recepción para hablar de una cultura nacional.</w:t>
      </w:r>
    </w:p>
    <w:p>
      <w:pPr>
        <w:jc w:val="center"/>
      </w:pPr>
      <w:r>
        <w:drawing>
          <wp:inline xmlns:a="http://schemas.openxmlformats.org/drawingml/2006/main" xmlns:pic="http://schemas.openxmlformats.org/drawingml/2006/picture">
            <wp:extent cx="6217920" cy="2640164"/>
            <wp:docPr id="1" name="Picture 1"/>
            <wp:cNvGraphicFramePr>
              <a:graphicFrameLocks noChangeAspect="1"/>
            </wp:cNvGraphicFramePr>
            <a:graphic>
              <a:graphicData uri="http://schemas.openxmlformats.org/drawingml/2006/picture">
                <pic:pic>
                  <pic:nvPicPr>
                    <pic:cNvPr id="0" name="idea_canciones_betty.png"/>
                    <pic:cNvPicPr/>
                  </pic:nvPicPr>
                  <pic:blipFill>
                    <a:blip r:embed="rId9"/>
                    <a:stretch>
                      <a:fillRect/>
                    </a:stretch>
                  </pic:blipFill>
                  <pic:spPr>
                    <a:xfrm>
                      <a:off x="0" y="0"/>
                      <a:ext cx="6217920" cy="2640164"/>
                    </a:xfrm>
                    <a:prstGeom prst="rect"/>
                  </pic:spPr>
                </pic:pic>
              </a:graphicData>
            </a:graphic>
          </wp:inline>
        </w:drawing>
      </w:r>
    </w:p>
    <w:p>
      <w:r>
        <w:t>Figura 1. Red conceptual: una tensión narrativa compartida da lugar a seis puertas de entrada. Las líneas representan una relación interpretativa, no semejanza sonora ni influencia entre producciones.</w:t>
      </w:r>
    </w:p>
    <w:p>
      <w:pPr>
        <w:pStyle w:val="Heading1"/>
      </w:pPr>
      <w:r>
        <w:t>Cuándo aparece un dato</w:t>
      </w:r>
    </w:p>
    <w:p>
      <w:r>
        <w:t>Un dato es un registro cuya unidad, fuente y contexto podemos recuperar. “2006”, “España”, “Te falta veneno”, “voz cantada” y una anotación de una escena son datos de tipos distintos. El título es texto; su tema central es una categoría construida por quien investiga. Si otra persona no puede seguir el paso del registro a la categoría, hemos perdido trazabilidad.</w:t>
      </w:r>
    </w:p>
    <w:tbl>
      <w:tblPr>
        <w:tblW w:type="auto" w:w="0"/>
        <w:jc w:val="center"/>
        <w:tblLook w:firstColumn="1" w:firstRow="1" w:lastColumn="0" w:lastRow="0" w:noHBand="0" w:noVBand="1" w:val="04A0"/>
      </w:tblPr>
      <w:tblGrid>
        <w:gridCol w:w="3360"/>
        <w:gridCol w:w="3360"/>
        <w:gridCol w:w="3360"/>
      </w:tblGrid>
      <w:tr>
        <w:trPr>
          <w:tblHeader/>
        </w:trPr>
        <w:tc>
          <w:tcPr>
            <w:tcW w:type="dxa" w:w="1440"/>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Nivel</w:t>
            </w:r>
          </w:p>
        </w:tc>
        <w:tc>
          <w:tcPr>
            <w:tcW w:type="dxa" w:w="4464"/>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En este caso</w:t>
            </w:r>
          </w:p>
        </w:tc>
        <w:tc>
          <w:tcPr>
            <w:tcW w:type="dxa" w:w="4176"/>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Qué pregunta responde</w:t>
            </w:r>
          </w:p>
        </w:tc>
      </w:tr>
      <w:tr>
        <w:tc>
          <w:tcPr>
            <w:tcW w:type="dxa" w:w="1440"/>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Registro</w:t>
            </w:r>
          </w:p>
        </w:tc>
        <w:tc>
          <w:tcPr>
            <w:tcW w:type="dxa" w:w="446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País, estreno, serie, título, intérprete, fuente, minuto de apertura.</w:t>
            </w:r>
          </w:p>
        </w:tc>
        <w:tc>
          <w:tcPr>
            <w:tcW w:type="dxa" w:w="417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¿Qué material tenemos y de dónde salió?</w:t>
            </w:r>
          </w:p>
        </w:tc>
      </w:tr>
      <w:tr>
        <w:tc>
          <w:tcPr>
            <w:tcW w:type="dxa" w:w="1440"/>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Codificación</w:t>
            </w:r>
          </w:p>
        </w:tc>
        <w:tc>
          <w:tcPr>
            <w:tcW w:type="dxa" w:w="446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Rumor, singularidad, belleza, iniciativa; con regla y evidencia.</w:t>
            </w:r>
          </w:p>
        </w:tc>
        <w:tc>
          <w:tcPr>
            <w:tcW w:type="dxa" w:w="4176"/>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¿Qué idea organiza el mensaje de entrada?</w:t>
            </w:r>
          </w:p>
        </w:tc>
      </w:tr>
      <w:tr>
        <w:tc>
          <w:tcPr>
            <w:tcW w:type="dxa" w:w="1440"/>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Interpretación</w:t>
            </w:r>
          </w:p>
        </w:tc>
        <w:tc>
          <w:tcPr>
            <w:tcW w:type="dxa" w:w="446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Relación entre esa entrada, la protagonista y el mundo de la serie.</w:t>
            </w:r>
          </w:p>
        </w:tc>
        <w:tc>
          <w:tcPr>
            <w:tcW w:type="dxa" w:w="417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¿Qué expectativa crea antes del episodio?</w:t>
            </w:r>
          </w:p>
        </w:tc>
      </w:tr>
      <w:tr>
        <w:tc>
          <w:tcPr>
            <w:tcW w:type="dxa" w:w="1440"/>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Comunicación</w:t>
            </w:r>
          </w:p>
        </w:tc>
        <w:tc>
          <w:tcPr>
            <w:tcW w:type="dxa" w:w="446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Tabla, red, montaje comparativo o explicación narrada.</w:t>
            </w:r>
          </w:p>
        </w:tc>
        <w:tc>
          <w:tcPr>
            <w:tcW w:type="dxa" w:w="4176"/>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¿Cómo puede otra persona examinar la evidencia?</w:t>
            </w:r>
          </w:p>
        </w:tc>
      </w:tr>
    </w:tbl>
    <w:p>
      <w:pPr>
        <w:spacing w:after="0"/>
      </w:pPr>
    </w:p>
    <w:p>
      <w:r>
        <w:t>Una persona puede disentir de nuestra categoría “iniciativa” para España, y eso mejora el estudio si aporta el audio, la secuencia o una lectura alternativa. La incertidumbre no se rellena con ceros: “no revisado” es distinto de “no aparece”.</w:t>
      </w:r>
    </w:p>
    <w:p>
      <w:pPr>
        <w:pStyle w:val="Heading1"/>
      </w:pPr>
      <w:r>
        <w:t>Qué aportan la estadística, la IA y la visualización</w:t>
      </w:r>
    </w:p>
    <w:p>
      <w:r>
        <w:t>Analizar datos es construir una respuesta sustentada a una pregunta. Aquí incluimos la lectura comparada, la codificación cualitativa y las relaciones entre canciones e ideas. La estadística entra cuando contamos categorías o examinamos cómo cambian sus frecuencias. La IA puede apoyar una transcripción, una traducción o la búsqueda de patrones, pero sus salidas se cotejan con las fuentes y los idiomas originales. Visualizar permite examinar relaciones y compartir una interpretación que el lector pueda cuestionar [8–11].</w:t>
      </w:r>
    </w:p>
    <w:p>
      <w:r>
        <w:t>La estadística estudia cómo recolectar, organizar y describir datos, así como cómo inferir con incertidumbre cuando la pregunta y el diseño lo permiten. No es la única vía de análisis. En el artículo sobre auditorías de información y conocimiento se combinan análisis documental, bibliometría, redes y valoración cualitativa: los vínculos entre publicaciones son datos y las redes permiten examinar un dominio científico [13]. En SCImago Graphica, una visualización sirve tanto para explorar como para comunicar; asignar una variable a posición, tamaño o color es una decisión de mapeo, no una decoración [11].</w:t>
      </w:r>
    </w:p>
    <w:tbl>
      <w:tblPr>
        <w:tblW w:type="auto" w:w="0"/>
        <w:jc w:val="center"/>
        <w:tblLook w:firstColumn="1" w:firstRow="1" w:lastColumn="0" w:lastRow="0" w:noHBand="0" w:noVBand="1" w:val="04A0"/>
      </w:tblPr>
      <w:tblGrid>
        <w:gridCol w:w="3360"/>
        <w:gridCol w:w="3360"/>
        <w:gridCol w:w="3360"/>
      </w:tblGrid>
      <w:tr>
        <w:trPr>
          <w:tblHeader/>
        </w:trPr>
        <w:tc>
          <w:tcPr>
            <w:tcW w:type="dxa" w:w="2592"/>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Lectura</w:t>
            </w:r>
          </w:p>
        </w:tc>
        <w:tc>
          <w:tcPr>
            <w:tcW w:type="dxa" w:w="4032"/>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Qué aporta a nuestra pregunta</w:t>
            </w:r>
          </w:p>
        </w:tc>
        <w:tc>
          <w:tcPr>
            <w:tcW w:type="dxa" w:w="3456"/>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Qué no debemos atribuirle</w:t>
            </w:r>
          </w:p>
        </w:tc>
      </w:tr>
      <w:tr>
        <w:tc>
          <w:tcPr>
            <w:tcW w:type="dxa" w:w="259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Chi [8]</w:t>
            </w:r>
          </w:p>
        </w:tc>
        <w:tc>
          <w:tcPr>
            <w:tcW w:type="dxa" w:w="403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Un modelo para pensar estados de los datos y operaciones que los llevan a una representación.</w:t>
            </w:r>
          </w:p>
        </w:tc>
        <w:tc>
          <w:tcPr>
            <w:tcW w:type="dxa" w:w="345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No decide por nosotros cuál es el mensaje cultural de una canción.</w:t>
            </w:r>
          </w:p>
        </w:tc>
      </w:tr>
      <w:tr>
        <w:tc>
          <w:tcPr>
            <w:tcW w:type="dxa" w:w="259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Qin et al. [9]</w:t>
            </w:r>
          </w:p>
        </w:tc>
        <w:tc>
          <w:tcPr>
            <w:tcW w:type="dxa" w:w="403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Separa preparación, manipulación, mapeo y representación; permite revisar cada transformación.</w:t>
            </w:r>
          </w:p>
        </w:tc>
        <w:tc>
          <w:tcPr>
            <w:tcW w:type="dxa" w:w="3456"/>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No convierte una sugerencia automática de gráfica en una interpretación válida.</w:t>
            </w:r>
          </w:p>
        </w:tc>
      </w:tr>
      <w:tr>
        <w:tc>
          <w:tcPr>
            <w:tcW w:type="dxa" w:w="259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IBM [10]</w:t>
            </w:r>
          </w:p>
        </w:tc>
        <w:tc>
          <w:tcPr>
            <w:tcW w:type="dxa" w:w="403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Pide una pregunta, una audiencia, jerarquía visual y proporciones fieles.</w:t>
            </w:r>
          </w:p>
        </w:tc>
        <w:tc>
          <w:tcPr>
            <w:tcW w:type="dxa" w:w="345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Sus guías de diseño no sustituyen análisis de fuentes o métodos estadísticos.</w:t>
            </w:r>
          </w:p>
        </w:tc>
      </w:tr>
      <w:tr>
        <w:tc>
          <w:tcPr>
            <w:tcW w:type="dxa" w:w="259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Hassan-Montero et al. [11]</w:t>
            </w:r>
          </w:p>
        </w:tc>
        <w:tc>
          <w:tcPr>
            <w:tcW w:type="dxa" w:w="403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Muestra cómo una misma tabla puede codificarse de varias maneras y usarse para explorar.</w:t>
            </w:r>
          </w:p>
        </w:tc>
        <w:tc>
          <w:tcPr>
            <w:tcW w:type="dxa" w:w="3456"/>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La facilidad de hacer una gráfica no demuestra que la variable sea adecuada.</w:t>
            </w:r>
          </w:p>
        </w:tc>
      </w:tr>
      <w:tr>
        <w:tc>
          <w:tcPr>
            <w:tcW w:type="dxa" w:w="259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Rojano-Ruiz y Montané-Jiménez [14]</w:t>
            </w:r>
          </w:p>
        </w:tc>
        <w:tc>
          <w:tcPr>
            <w:tcW w:type="dxa" w:w="403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Plantea adaptar la representación al contexto y al usuario en datos urbanos.</w:t>
            </w:r>
          </w:p>
        </w:tc>
        <w:tc>
          <w:tcPr>
            <w:tcW w:type="dxa" w:w="345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Interactividad o personalización no equivalen por sí solas a exactitud.</w:t>
            </w:r>
          </w:p>
        </w:tc>
      </w:tr>
      <w:tr>
        <w:tc>
          <w:tcPr>
            <w:tcW w:type="dxa" w:w="259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Luque et al. [15]</w:t>
            </w:r>
          </w:p>
        </w:tc>
        <w:tc>
          <w:tcPr>
            <w:tcW w:type="dxa" w:w="403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Sitúa modelos generativos en datos, mapeo, personalización e interacción.</w:t>
            </w:r>
          </w:p>
        </w:tc>
        <w:tc>
          <w:tcPr>
            <w:tcW w:type="dxa" w:w="3456"/>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Describe una línea de desarrollo; no valida automáticamente toda salida de IA.</w:t>
            </w:r>
          </w:p>
        </w:tc>
      </w:tr>
    </w:tbl>
    <w:p>
      <w:pPr>
        <w:spacing w:after="0"/>
      </w:pPr>
    </w:p>
    <w:p>
      <w:r>
        <w:t>El artículo de González Guitián, de Zayas Pérez y López Porra no estudia canciones: analiza publicaciones de 1994 a 2013 recuperadas de LISA, Scopus y Web of Knowledge. Normaliza registros, usa indicadores bibliométricos y representa relaciones mediante análisis de redes; combina ese cómputo con revisión documental y valoraciones cualitativas [13, pp. 34–37]. Tomamos su decisión metodológica, no sus conclusiones sobre auditorías: antes de dibujar una red de Betty definimos nodos (tema musical e idea), una arista (relación justificada por una ficha) y la procedencia de cada dato. Si dibujáramos una conexión entre Colombia y Brasil solo porque ambas series derivan de Betty, la red respondería una pregunta de adaptación; la figura 1 responde otra, sobre mensajes. Cambiar la definición de arista cambia el objeto de análisis.</w:t>
      </w:r>
    </w:p>
    <w:p>
      <w:r>
        <w:t>Hassan-Montero, De-Moya-Anegón y Guerrero-Bote muestran que una visualización puede construirse vinculando variables a canales como posición, tamaño, color, etiquetas y filtros. La herramienta también realiza transformaciones, entre ellas agrupamientos y cálculos estadísticos [11, pp. 4–5]. Para nuestro corpus, la tabla de seis filas sería la entrada; “año” podría ocupar la posición horizontal, “tipo de mensaje” el color y “país” la etiqueta. En una segunda vista, las canciones y categorías serían nodos. El software puede dibujar ambas vistas, pero no determina si “Te falta veneno” se codificó bien: esa es una decisión de lectura contrastable con la apertura.</w:t>
      </w:r>
    </w:p>
    <w:p>
      <w:r>
        <w:t>Rojano-Ruiz y Montané-Jiménez proponen para datos urbanos un modelo de cuatro capas: adquisición de fuentes heterogéneas, procesamiento e integración, representación e interacción adaptada al usuario [14, pp. 59–60]. Aplicado a natalidad: (1) reunir tasas, conteos y superficies con sus años; (2) revisar nombres, unidades y denominadores; (3) elegir gráfica según la pregunta; (4) permitir cambiar entre conteos y tasas manteniendo visible qué mide cada vista. Aplicado a Betty: reunir versiones y créditos; distinguir pista, cabecera y montaje de fans; comparar mensajes; ofrecer audio, subtítulos y transcripción. Esto último es una propuesta nuestra de adaptación al público, no un resultado empírico del estudio urbano.</w:t>
      </w:r>
    </w:p>
    <w:p>
      <w:r>
        <w:t>Luque, Ganuza y Castro sitúan la IA generativa en la mejora de datos, la generación del mapeo visual, la personalización y las nuevas interacciones, y piden evaluar exactitud, fidelidad, robustez y sesgos [15, pp. 230–232]. Una aplicación concreta sería transcribir las aperturas, proponer códigos temáticos y dejar que una persona cuestione cada propuesta con una marca de tiempo. Otra sería solicitar una gráfica de las 32 tasas y comparar sus ejes y denominadores con la fuente. Si un sistema completa una letra que no oyó o presenta la media estatal como tasa nacional, falla en fidelidad aunque el resultado parezca convincente.</w:t>
      </w:r>
    </w:p>
    <w:p>
      <w:r>
        <w:t>Una forma útil de ordenar el trabajo es: pregunta → registros y procedencia → revisión → transformación → comparación o modelo → representación → interpretación. Las flechas permiten regresar: una red puede exhibir un título mal atribuido y un mapa puede revelar un denominador equivocado. La IA entra en varias etapas como apoyo; documentamos entrada, salida y comprobación. El video añade tiempo, narración e imagen a la representación, pero el sonido solo tiene valor analítico si sabemos qué información aporta y podemos hacerla accesible.</w:t>
      </w:r>
    </w:p>
    <w:p>
      <w:r>
        <w:t>Si codificamos un único enfoque por tema, obtenemos: rumor 1, singularidad 1, belleza 3 e iniciativa 1. La tabla de contingencia siguiente cruza esa codificación con el periodo; la red de la figura 1 preserva la idea común que explica por qué comparamos las seis canciones. Ninguna cifra resume por sí sola el mensaje audiovisual.</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trPr>
        <w:tc>
          <w:tcPr>
            <w:tcW w:type="dxa" w:w="1944"/>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Estreno</w:t>
            </w:r>
          </w:p>
        </w:tc>
        <w:tc>
          <w:tcPr>
            <w:tcW w:type="dxa" w:w="1296"/>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Rumor</w:t>
            </w:r>
          </w:p>
        </w:tc>
        <w:tc>
          <w:tcPr>
            <w:tcW w:type="dxa" w:w="1699"/>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Singularidad</w:t>
            </w:r>
          </w:p>
        </w:tc>
        <w:tc>
          <w:tcPr>
            <w:tcW w:type="dxa" w:w="1368"/>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Belleza</w:t>
            </w:r>
          </w:p>
        </w:tc>
        <w:tc>
          <w:tcPr>
            <w:tcW w:type="dxa" w:w="1541"/>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Iniciativa</w:t>
            </w:r>
          </w:p>
        </w:tc>
        <w:tc>
          <w:tcPr>
            <w:tcW w:type="dxa" w:w="1152"/>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Total</w:t>
            </w:r>
          </w:p>
        </w:tc>
      </w:tr>
      <w:tr>
        <w:tc>
          <w:tcPr>
            <w:tcW w:type="dxa" w:w="194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1999–2003</w:t>
            </w:r>
          </w:p>
        </w:tc>
        <w:tc>
          <w:tcPr>
            <w:tcW w:type="dxa" w:w="129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1</w:t>
            </w:r>
          </w:p>
        </w:tc>
        <w:tc>
          <w:tcPr>
            <w:tcW w:type="dxa" w:w="1699"/>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1</w:t>
            </w:r>
          </w:p>
        </w:tc>
        <w:tc>
          <w:tcPr>
            <w:tcW w:type="dxa" w:w="1368"/>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0</w:t>
            </w:r>
          </w:p>
        </w:tc>
        <w:tc>
          <w:tcPr>
            <w:tcW w:type="dxa" w:w="1541"/>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0</w:t>
            </w:r>
          </w:p>
        </w:tc>
        <w:tc>
          <w:tcPr>
            <w:tcW w:type="dxa" w:w="115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2</w:t>
            </w:r>
          </w:p>
        </w:tc>
      </w:tr>
      <w:tr>
        <w:tc>
          <w:tcPr>
            <w:tcW w:type="dxa" w:w="194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2006</w:t>
            </w:r>
          </w:p>
        </w:tc>
        <w:tc>
          <w:tcPr>
            <w:tcW w:type="dxa" w:w="1296"/>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0</w:t>
            </w:r>
          </w:p>
        </w:tc>
        <w:tc>
          <w:tcPr>
            <w:tcW w:type="dxa" w:w="1699"/>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0</w:t>
            </w:r>
          </w:p>
        </w:tc>
        <w:tc>
          <w:tcPr>
            <w:tcW w:type="dxa" w:w="1368"/>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2</w:t>
            </w:r>
          </w:p>
        </w:tc>
        <w:tc>
          <w:tcPr>
            <w:tcW w:type="dxa" w:w="1541"/>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1</w:t>
            </w:r>
          </w:p>
        </w:tc>
        <w:tc>
          <w:tcPr>
            <w:tcW w:type="dxa" w:w="115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3</w:t>
            </w:r>
          </w:p>
        </w:tc>
      </w:tr>
      <w:tr>
        <w:tc>
          <w:tcPr>
            <w:tcW w:type="dxa" w:w="194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2009</w:t>
            </w:r>
          </w:p>
        </w:tc>
        <w:tc>
          <w:tcPr>
            <w:tcW w:type="dxa" w:w="129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0</w:t>
            </w:r>
          </w:p>
        </w:tc>
        <w:tc>
          <w:tcPr>
            <w:tcW w:type="dxa" w:w="1699"/>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0</w:t>
            </w:r>
          </w:p>
        </w:tc>
        <w:tc>
          <w:tcPr>
            <w:tcW w:type="dxa" w:w="1368"/>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1</w:t>
            </w:r>
          </w:p>
        </w:tc>
        <w:tc>
          <w:tcPr>
            <w:tcW w:type="dxa" w:w="1541"/>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0</w:t>
            </w:r>
          </w:p>
        </w:tc>
        <w:tc>
          <w:tcPr>
            <w:tcW w:type="dxa" w:w="1152"/>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1</w:t>
            </w:r>
          </w:p>
        </w:tc>
      </w:tr>
      <w:tr>
        <w:tc>
          <w:tcPr>
            <w:tcW w:type="dxa" w:w="194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Total</w:t>
            </w:r>
          </w:p>
        </w:tc>
        <w:tc>
          <w:tcPr>
            <w:tcW w:type="dxa" w:w="1296"/>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1</w:t>
            </w:r>
          </w:p>
        </w:tc>
        <w:tc>
          <w:tcPr>
            <w:tcW w:type="dxa" w:w="1699"/>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1</w:t>
            </w:r>
          </w:p>
        </w:tc>
        <w:tc>
          <w:tcPr>
            <w:tcW w:type="dxa" w:w="1368"/>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3</w:t>
            </w:r>
          </w:p>
        </w:tc>
        <w:tc>
          <w:tcPr>
            <w:tcW w:type="dxa" w:w="1541"/>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1</w:t>
            </w:r>
          </w:p>
        </w:tc>
        <w:tc>
          <w:tcPr>
            <w:tcW w:type="dxa" w:w="1152"/>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6</w:t>
            </w:r>
          </w:p>
        </w:tc>
      </w:tr>
    </w:tbl>
    <w:p>
      <w:pPr>
        <w:spacing w:after="0"/>
      </w:pPr>
    </w:p>
    <w:p>
      <w:r>
        <w:t>Leemos “tres de seis temas elegidos abren con una formulación ligada a belleza o apariencia”, y no “la mitad de los países entiende así a Betty”. El corpus es pequeño y elegido por disponibilidad de evidencia. Si codificamos la letra, el sonido y las imágenes, surgirán varias ideas por canción; entonces una matriz de presencia y una red bipartita canción–idea representarían mejor la coexistencia de mensajes que una sola etiqueta por apertura.</w:t>
      </w:r>
    </w:p>
    <w:p>
      <w:pPr>
        <w:pStyle w:val="Heading1"/>
      </w:pPr>
      <w:r>
        <w:t>Otro caso muestra por qué importa la pregunta</w:t>
      </w:r>
    </w:p>
    <w:p>
      <w:r>
        <w:t>Pasemos ahora del dato cultural al numérico. El material de la semana 2 reúne las tasas de nacimientos registrados en 2024 de las 32 entidades de México, conteos de registros y superficies [12]. La unidad de análisis es la entidad; la tasa publicada se expresa por cada mil mujeres de 15 a 49 años. Un registro de nacimiento no es la misma unidad que una entidad federativa. “Registrado en 2024” tampoco equivale a “ocurrido en 2024”.</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2736"/>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Pregunta</w:t>
            </w:r>
          </w:p>
        </w:tc>
        <w:tc>
          <w:tcPr>
            <w:tcW w:type="dxa" w:w="3384"/>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Dato y operación</w:t>
            </w:r>
          </w:p>
        </w:tc>
        <w:tc>
          <w:tcPr>
            <w:tcW w:type="dxa" w:w="2376"/>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Representación que ayuda</w:t>
            </w:r>
          </w:p>
        </w:tc>
        <w:tc>
          <w:tcPr>
            <w:tcW w:type="dxa" w:w="1584"/>
            <w:vAlign w:val="center"/>
            <w:shd w:fill="DDEAF0"/>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sz w:val="17"/>
              </w:rPr>
              <w:t>Límite de la conclusión</w:t>
            </w:r>
          </w:p>
        </w:tc>
      </w:tr>
      <w:tr>
        <w:tc>
          <w:tcPr>
            <w:tcW w:type="dxa" w:w="273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¿Dónde hay más nacimientos registrados?</w:t>
            </w:r>
          </w:p>
        </w:tc>
        <w:tc>
          <w:tcPr>
            <w:tcW w:type="dxa" w:w="33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Conteos por entidad, ordenados y etiquetados.</w:t>
            </w:r>
          </w:p>
        </w:tc>
        <w:tc>
          <w:tcPr>
            <w:tcW w:type="dxa" w:w="237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Barras ordenadas o mapa de conteos con explicación.</w:t>
            </w:r>
          </w:p>
        </w:tc>
        <w:tc>
          <w:tcPr>
            <w:tcW w:type="dxa" w:w="15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Una cifra alta puede reflejar mayor tamaño de población.</w:t>
            </w:r>
          </w:p>
        </w:tc>
      </w:tr>
      <w:tr>
        <w:tc>
          <w:tcPr>
            <w:tcW w:type="dxa" w:w="2736"/>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¿Cómo difieren las tasas entre entidades?</w:t>
            </w:r>
          </w:p>
        </w:tc>
        <w:tc>
          <w:tcPr>
            <w:tcW w:type="dxa" w:w="338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32 tasas por mil mujeres de 15 a 49 años.</w:t>
            </w:r>
          </w:p>
        </w:tc>
        <w:tc>
          <w:tcPr>
            <w:tcW w:type="dxa" w:w="2376"/>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Gráfica de puntos; histograma y caja para distribución.</w:t>
            </w:r>
          </w:p>
        </w:tc>
        <w:tc>
          <w:tcPr>
            <w:tcW w:type="dxa" w:w="1584"/>
            <w:vAlign w:val="center"/>
            <w:shd w:fill="F5F8FA"/>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La tasa mide registro relativo a ese denominador, no nacimientos por km².</w:t>
            </w:r>
          </w:p>
        </w:tc>
      </w:tr>
      <w:tr>
        <w:tc>
          <w:tcPr>
            <w:tcW w:type="dxa" w:w="273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¿Superficie y registros se relacionan?</w:t>
            </w:r>
          </w:p>
        </w:tc>
        <w:tc>
          <w:tcPr>
            <w:tcW w:type="dxa" w:w="33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Pares (km², número de registros).</w:t>
            </w:r>
          </w:p>
        </w:tc>
        <w:tc>
          <w:tcPr>
            <w:tcW w:type="dxa" w:w="2376"/>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Dispersión con nombre y unidad en ambos ejes.</w:t>
            </w:r>
          </w:p>
        </w:tc>
        <w:tc>
          <w:tcPr>
            <w:tcW w:type="dxa" w:w="1584"/>
            <w:vAlign w:val="center"/>
            <w:shd w:fill="FFFFFF"/>
            <w:tcMar>
              <w:top w:w="85" w:type="dxa"/>
              <w:left w:w="85" w:type="dxa"/>
              <w:bottom w:w="85" w:type="dxa"/>
              <w:right w:w="85" w:type="dxa"/>
            </w:tcMar>
            <w:tcBorders>
              <w:top w:val="single" w:color="D9D9D9" w:sz="4"/>
              <w:left w:val="single" w:color="D9D9D9" w:sz="4"/>
              <w:bottom w:val="single" w:color="D9D9D9" w:sz="4"/>
              <w:right w:val="single" w:color="D9D9D9" w:sz="4"/>
            </w:tcBorders>
          </w:tcPr>
          <w:p>
            <w:pPr>
              <w:spacing w:after="0"/>
            </w:pPr>
            <w:r>
              <w:rPr>
                <w:b w:val="0"/>
                <w:sz w:val="17"/>
              </w:rPr>
              <w:t>La relación observada no demuestra causalidad.</w:t>
            </w:r>
          </w:p>
        </w:tc>
      </w:tr>
    </w:tbl>
    <w:p>
      <w:pPr>
        <w:spacing w:after="0"/>
      </w:pPr>
    </w:p>
    <w:p>
      <w:r>
        <w:t>Con las 32 tasas conocidas describimos la población de entidades de ese año: la media simple es 48.25. La tasa nacional publicada es 47.7. No hay contradicción numérica: la primera da el mismo peso a cada estado; la segunda usa totales y denominadores nacionales. Si elegimos ocho entidades al azar, ahora tenemos una muestra y debemos aclarar cómo se eligió antes de generalizar [12]. Una IA que etiquetara 48.25 como “tasa nacional” cometería un error conceptual aunque ejecutara bien la suma.</w:t>
      </w:r>
    </w:p>
    <w:p>
      <w:r>
        <w:t>Un video de 60 a 75 segundos podría mostrar primero conteos, detenerse para preguntar qué representan, y después cambiar a las tasas con unidad y denominador permanentes en pantalla. La narración explicaría por qué cambia la comparación; subtítulos y transcripción permitirían seguirla sin audio. Esta secuencia revela la misma lección que Betty desde otra materia: el mensaje depende de qué dato, voz, escala y contexto se ponen delante de la audiencia.</w:t>
      </w:r>
    </w:p>
    <w:p>
      <w:r>
        <w:t>La idea que queremos conservar es esta: antes de representar, preguntamos qué observamos y qué mensaje queremos someter a examen. Luego elegimos una forma que permita al público mirar o escuchar la evidencia. Una gráfica, una red y un video son recursos diferentes; ninguno corrige una fuente dudosa o una interpretación sin fundamento.</w:t>
      </w:r>
    </w:p>
    <w:p>
      <w:pPr>
        <w:pStyle w:val="Heading1"/>
      </w:pPr>
      <w:r>
        <w:t>Fuentes del corpus y del marco conceptual</w:t>
      </w:r>
    </w:p>
    <w:p>
      <w:pPr>
        <w:spacing w:after="60"/>
      </w:pPr>
      <w:r>
        <w:rPr>
          <w:sz w:val="16"/>
        </w:rPr>
        <w:t>[1] RCN Radio. “Se dice de mí” como tema de cabecera de Yo soy Betty, la fea. https://elsol.rcnradio.com/noticias/famosos/que-fue-del-nino-de-la-intro-de-betty-la-fea-se-crecio-y-asi-luce-ahora/48854</w:t>
      </w:r>
    </w:p>
    <w:p>
      <w:pPr>
        <w:spacing w:after="60"/>
      </w:pPr>
      <w:r>
        <w:rPr>
          <w:sz w:val="16"/>
        </w:rPr>
        <w:t>[2] The Indian Express (2019). Jassi Jaissi Koi Nahin, tema titular cantado por Shaan; estreno 2003. https://indianexpress.com/article/entertainment/television/jassi-jaissi-koi-nahin-cast-then-and-now-5979154/</w:t>
      </w:r>
    </w:p>
    <w:p>
      <w:pPr>
        <w:spacing w:after="60"/>
      </w:pPr>
      <w:r>
        <w:rPr>
          <w:sz w:val="16"/>
        </w:rPr>
        <w:t>[3] ViX. La fea más bella, serie de 2006. https://vix.com/es-es/detail/series-526 ; Warner Music Mexico (2006), álbum de la serie. https://music.amazon.com.mx/albums/B001M06010</w:t>
      </w:r>
    </w:p>
    <w:p>
      <w:pPr>
        <w:spacing w:after="60"/>
      </w:pPr>
      <w:r>
        <w:rPr>
          <w:sz w:val="16"/>
        </w:rPr>
        <w:t>[4] FormulaTV (2006). Edurne interpreta “Te falta veneno” como sintonía de Yo soy Bea. https://www.formulatv.com/noticias/2339/edurne-interpretara-la-sintonia-de-la-serie-yo-soy-bea/</w:t>
      </w:r>
    </w:p>
    <w:p>
      <w:pPr>
        <w:spacing w:after="60"/>
      </w:pPr>
      <w:r>
        <w:rPr>
          <w:sz w:val="16"/>
        </w:rPr>
        <w:t>[5] Jeff Beal. Ugly Betty Main Title Theme, catálogo del compositor. https://www.jeffbeal.com/works/films/uglybetty.html</w:t>
      </w:r>
    </w:p>
    <w:p>
      <w:pPr>
        <w:spacing w:after="60"/>
      </w:pPr>
      <w:r>
        <w:rPr>
          <w:sz w:val="16"/>
        </w:rPr>
        <w:t>[6] Instituto Memória Musical Brasileira. Bela a Feia, álbum de Record Entretenimento (2009), con tema de apertura. https://immub.org/album/bela-a-feia-trilha-sonora-da-novela</w:t>
      </w:r>
    </w:p>
    <w:p>
      <w:pPr>
        <w:spacing w:after="60"/>
      </w:pPr>
      <w:r>
        <w:rPr>
          <w:sz w:val="16"/>
        </w:rPr>
        <w:t>[7] Registro de “No existen las feas”, sin identificación suficiente de apertura. https://www.musica.com/letras.asp?letra=1625317</w:t>
      </w:r>
    </w:p>
    <w:p>
      <w:pPr>
        <w:spacing w:after="60"/>
      </w:pPr>
      <w:r>
        <w:rPr>
          <w:sz w:val="16"/>
        </w:rPr>
        <w:t>[8] Chi, E. H. (2000). A taxonomy of visualization techniques using the Data State Reference Model. https://doi.org/10.1109/INFVIS.2000.885092</w:t>
      </w:r>
    </w:p>
    <w:p>
      <w:pPr>
        <w:spacing w:after="60"/>
      </w:pPr>
      <w:r>
        <w:rPr>
          <w:sz w:val="16"/>
        </w:rPr>
        <w:t>[9] Qin, X., Luo, Y., Tang, N., &amp; Li, G. (2020). Making data visualization more efficient and effective: A survey. The VLDB Journal, 29, 93–117. https://doi.org/10.1007/s00778-019-00588-3</w:t>
      </w:r>
    </w:p>
    <w:p>
      <w:pPr>
        <w:spacing w:after="60"/>
      </w:pPr>
      <w:r>
        <w:rPr>
          <w:sz w:val="16"/>
        </w:rPr>
        <w:t>[10] IBM. (s. f.). Data visualization: Overview. https://www.ibm.com/design/language/data-visualization/overview/</w:t>
      </w:r>
    </w:p>
    <w:p>
      <w:pPr>
        <w:spacing w:after="60"/>
      </w:pPr>
      <w:r>
        <w:rPr>
          <w:sz w:val="16"/>
        </w:rPr>
        <w:t>[11] Hassan-Montero, Y., De-Moya-Anegón, F., &amp; Guerrero-Bote, V. P. (2022). SCImago Graphica: A new tool for exploring and visually communicating data. https://doi.org/10.3145/epi.2022.sep.02</w:t>
      </w:r>
    </w:p>
    <w:p>
      <w:pPr>
        <w:spacing w:after="60"/>
      </w:pPr>
      <w:r>
        <w:rPr>
          <w:sz w:val="16"/>
        </w:rPr>
        <w:t>[12] ¿Qué cuentan los datos de natalidad? Material de clase compartido, pp. 1, 4, 20 y 33–34. Los datos de 2024 provienen de las fuentes INEGI indicadas en el material.</w:t>
      </w:r>
    </w:p>
    <w:p>
      <w:pPr>
        <w:spacing w:after="60"/>
      </w:pPr>
      <w:r>
        <w:rPr>
          <w:sz w:val="16"/>
        </w:rPr>
        <w:t>[13] González Guitián, M. V., de Zayas Pérez, M. R., &amp; López Porra, J. (2015). Auditoría de información y auditoría de conocimiento: acercamiento a su visualización como dominios científicos. Revista Cubana de Información en Ciencias de la Salud, 26(1), 34–52. PDF compartido.</w:t>
      </w:r>
    </w:p>
    <w:p>
      <w:pPr>
        <w:spacing w:after="60"/>
      </w:pPr>
      <w:r>
        <w:rPr>
          <w:sz w:val="16"/>
        </w:rPr>
        <w:t>[14] Rojano-Ruiz, L. A., &amp; Montané-Jiménez, L. G. (2025). Desafíos en las técnicas de visualización de datos urbanos ambientales desde una perspectiva adaptativa: revisión sistemática. RITI Journal, 13(31). https://doi.org/10.36825/RITI.13.31.006</w:t>
      </w:r>
    </w:p>
    <w:p>
      <w:pPr>
        <w:spacing w:after="60"/>
      </w:pPr>
      <w:r>
        <w:rPr>
          <w:sz w:val="16"/>
        </w:rPr>
        <w:t>[15] Luque, L. E., Ganuza, M. L., &amp; Castro, S. M. Análisis visual de datos multidimensionales y espacio-temporales asistido por modelos generativos. PDF compartido, pp. 230–232.</w:t>
      </w:r>
    </w:p>
    <w:sectPr w:rsidR="00FC693F" w:rsidRPr="0006063C" w:rsidSect="00034616">
      <w:pgSz w:w="12240" w:h="15840"/>
      <w:pgMar w:top="950"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Bdr>
        <w:bottom w:val="nil"/>
      </w:pBdr>
    </w:pPr>
    <w:rPr>
      <w:rFonts w:asciiTheme="majorHAnsi" w:eastAsiaTheme="majorEastAsia" w:hAnsiTheme="majorHAnsi" w:cstheme="majorBidi" w:ascii="Aptos" w:hAnsi="Apto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