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Series uniformes y perpetuidades</w:t>
      </w:r>
    </w:p>
    <w:p>
      <w:pPr>
        <w:pStyle w:val="Subtitle"/>
      </w:pPr>
      <w:r>
        <w:t>Apunte de Ingeniería Económica para estudiantes</w:t>
      </w:r>
    </w:p>
    <w:p>
      <w:r>
        <w:t>María deposita $2,000 cada año durante 16 años. ¿Cómo podemos encontrar el dinero acumulado sin calcular por separado el valor final de cada depósito? La clave es reconocer que los pagos son iguales y que sus factores de acumulación forman una progresión geométrica.</w:t>
      </w:r>
    </w:p>
    <w:p>
      <w:r>
        <w:t>Usaremos la nomenclatura de Blank y Tarquin. Los valores monetarios se expresan en pesos corrientes; la tasa se supone efectiva, constante y correspondiente al periodo de los pagos.</w:t>
      </w:r>
    </w:p>
    <w:tbl>
      <w:tblPr>
        <w:tblW w:type="auto" w:w="0"/>
        <w:tblLayout w:type="fixed"/>
        <w:tblLook w:firstColumn="1" w:firstRow="1" w:lastColumn="0" w:lastRow="0" w:noHBand="0" w:noVBand="1" w:val="04A0"/>
      </w:tblPr>
      <w:tblGrid>
        <w:gridCol w:w="4968"/>
        <w:gridCol w:w="4968"/>
      </w:tblGrid>
      <w:tr>
        <w:tc>
          <w:tcPr>
            <w:tcW w:type="dxa" w:w="1440"/>
            <w:tcBorders>
              <w:top w:val="single" w:sz="4" w:color="D9D9D9"/>
              <w:left w:val="single" w:sz="4" w:color="D9D9D9"/>
              <w:bottom w:val="single" w:sz="4" w:color="D9D9D9"/>
              <w:right w:val="single" w:sz="4" w:color="D9D9D9"/>
            </w:tcBorders>
            <w:shd w:fill="DCE6EF"/>
          </w:tcPr>
          <w:p>
            <w:pPr>
              <w:spacing w:before="100" w:after="100"/>
            </w:pPr>
            <w:r>
              <w:rPr>
                <w:b/>
                <w:sz w:val="21"/>
              </w:rPr>
              <w:t>Símbolo</w:t>
            </w:r>
          </w:p>
        </w:tc>
        <w:tc>
          <w:tcPr>
            <w:tcW w:type="dxa" w:w="8352"/>
            <w:tcBorders>
              <w:top w:val="single" w:sz="4" w:color="D9D9D9"/>
              <w:left w:val="single" w:sz="4" w:color="D9D9D9"/>
              <w:bottom w:val="single" w:sz="4" w:color="D9D9D9"/>
              <w:right w:val="single" w:sz="4" w:color="D9D9D9"/>
            </w:tcBorders>
            <w:shd w:fill="DCE6EF"/>
          </w:tcPr>
          <w:p>
            <w:pPr>
              <w:spacing w:before="100" w:after="100"/>
            </w:pPr>
            <w:r>
              <w:rPr>
                <w:b/>
                <w:sz w:val="21"/>
              </w:rPr>
              <w:t>Significado</w:t>
            </w:r>
          </w:p>
        </w:tc>
      </w:tr>
      <w:tr>
        <w:tc>
          <w:tcPr>
            <w:tcW w:type="dxa" w:w="1440"/>
            <w:tcBorders>
              <w:top w:val="single" w:sz="4" w:color="D9D9D9"/>
              <w:left w:val="single" w:sz="4" w:color="D9D9D9"/>
              <w:bottom w:val="single" w:sz="4" w:color="D9D9D9"/>
              <w:right w:val="single" w:sz="4" w:color="D9D9D9"/>
            </w:tcBorders>
          </w:tcPr>
          <w:p>
            <w:pPr>
              <w:spacing w:before="100" w:after="100"/>
            </w:pPr>
            <w:r>
              <w:rPr>
                <w:b w:val="0"/>
                <w:sz w:val="21"/>
              </w:rPr>
              <w:t>P</w:t>
            </w:r>
          </w:p>
        </w:tc>
        <w:tc>
          <w:tcPr>
            <w:tcW w:type="dxa" w:w="8352"/>
            <w:tcBorders>
              <w:top w:val="single" w:sz="4" w:color="D9D9D9"/>
              <w:left w:val="single" w:sz="4" w:color="D9D9D9"/>
              <w:bottom w:val="single" w:sz="4" w:color="D9D9D9"/>
              <w:right w:val="single" w:sz="4" w:color="D9D9D9"/>
            </w:tcBorders>
          </w:tcPr>
          <w:p>
            <w:pPr>
              <w:spacing w:before="100" w:after="100"/>
            </w:pPr>
            <w:r>
              <w:rPr>
                <w:b w:val="0"/>
                <w:sz w:val="21"/>
              </w:rPr>
              <w:t>Valor presente en la fecha 0</w:t>
            </w:r>
          </w:p>
        </w:tc>
      </w:tr>
      <w:tr>
        <w:tc>
          <w:tcPr>
            <w:tcW w:type="dxa" w:w="1440"/>
            <w:tcBorders>
              <w:top w:val="single" w:sz="4" w:color="D9D9D9"/>
              <w:left w:val="single" w:sz="4" w:color="D9D9D9"/>
              <w:bottom w:val="single" w:sz="4" w:color="D9D9D9"/>
              <w:right w:val="single" w:sz="4" w:color="D9D9D9"/>
            </w:tcBorders>
          </w:tcPr>
          <w:p>
            <w:pPr>
              <w:spacing w:before="100" w:after="100"/>
            </w:pPr>
            <w:r>
              <w:rPr>
                <w:b w:val="0"/>
                <w:sz w:val="21"/>
              </w:rPr>
              <w:t>F</w:t>
            </w:r>
          </w:p>
        </w:tc>
        <w:tc>
          <w:tcPr>
            <w:tcW w:type="dxa" w:w="8352"/>
            <w:tcBorders>
              <w:top w:val="single" w:sz="4" w:color="D9D9D9"/>
              <w:left w:val="single" w:sz="4" w:color="D9D9D9"/>
              <w:bottom w:val="single" w:sz="4" w:color="D9D9D9"/>
              <w:right w:val="single" w:sz="4" w:color="D9D9D9"/>
            </w:tcBorders>
          </w:tcPr>
          <w:p>
            <w:pPr>
              <w:spacing w:before="100" w:after="100"/>
            </w:pPr>
            <w:r>
              <w:rPr>
                <w:b w:val="0"/>
                <w:sz w:val="21"/>
              </w:rPr>
              <w:t>Valor futuro en la fecha n</w:t>
            </w:r>
          </w:p>
        </w:tc>
      </w:tr>
      <w:tr>
        <w:tc>
          <w:tcPr>
            <w:tcW w:type="dxa" w:w="1440"/>
            <w:tcBorders>
              <w:top w:val="single" w:sz="4" w:color="D9D9D9"/>
              <w:left w:val="single" w:sz="4" w:color="D9D9D9"/>
              <w:bottom w:val="single" w:sz="4" w:color="D9D9D9"/>
              <w:right w:val="single" w:sz="4" w:color="D9D9D9"/>
            </w:tcBorders>
          </w:tcPr>
          <w:p>
            <w:pPr>
              <w:spacing w:before="100" w:after="100"/>
            </w:pPr>
            <w:r>
              <w:rPr>
                <w:b w:val="0"/>
                <w:sz w:val="21"/>
              </w:rPr>
              <w:t>A</w:t>
            </w:r>
          </w:p>
        </w:tc>
        <w:tc>
          <w:tcPr>
            <w:tcW w:type="dxa" w:w="8352"/>
            <w:tcBorders>
              <w:top w:val="single" w:sz="4" w:color="D9D9D9"/>
              <w:left w:val="single" w:sz="4" w:color="D9D9D9"/>
              <w:bottom w:val="single" w:sz="4" w:color="D9D9D9"/>
              <w:right w:val="single" w:sz="4" w:color="D9D9D9"/>
            </w:tcBorders>
          </w:tcPr>
          <w:p>
            <w:pPr>
              <w:spacing w:before="100" w:after="100"/>
            </w:pPr>
            <w:r>
              <w:rPr>
                <w:b w:val="0"/>
                <w:sz w:val="21"/>
              </w:rPr>
              <w:t>Cantidad uniforme depositada o retirada cada periodo</w:t>
            </w:r>
          </w:p>
        </w:tc>
      </w:tr>
      <w:tr>
        <w:tc>
          <w:tcPr>
            <w:tcW w:type="dxa" w:w="1440"/>
            <w:tcBorders>
              <w:top w:val="single" w:sz="4" w:color="D9D9D9"/>
              <w:left w:val="single" w:sz="4" w:color="D9D9D9"/>
              <w:bottom w:val="single" w:sz="4" w:color="D9D9D9"/>
              <w:right w:val="single" w:sz="4" w:color="D9D9D9"/>
            </w:tcBorders>
          </w:tcPr>
          <w:p>
            <w:pPr>
              <w:spacing w:before="100" w:after="100"/>
            </w:pPr>
            <w:r>
              <w:rPr>
                <w:b w:val="0"/>
                <w:sz w:val="21"/>
              </w:rPr>
              <w:t>i</w:t>
            </w:r>
          </w:p>
        </w:tc>
        <w:tc>
          <w:tcPr>
            <w:tcW w:type="dxa" w:w="8352"/>
            <w:tcBorders>
              <w:top w:val="single" w:sz="4" w:color="D9D9D9"/>
              <w:left w:val="single" w:sz="4" w:color="D9D9D9"/>
              <w:bottom w:val="single" w:sz="4" w:color="D9D9D9"/>
              <w:right w:val="single" w:sz="4" w:color="D9D9D9"/>
            </w:tcBorders>
          </w:tcPr>
          <w:p>
            <w:pPr>
              <w:spacing w:before="100" w:after="100"/>
            </w:pPr>
            <w:r>
              <w:rPr>
                <w:b w:val="0"/>
                <w:sz w:val="21"/>
              </w:rPr>
              <w:t>Tasa efectiva por periodo, escrita como decimal</w:t>
            </w:r>
          </w:p>
        </w:tc>
      </w:tr>
      <w:tr>
        <w:tc>
          <w:tcPr>
            <w:tcW w:type="dxa" w:w="1440"/>
            <w:tcBorders>
              <w:top w:val="single" w:sz="4" w:color="D9D9D9"/>
              <w:left w:val="single" w:sz="4" w:color="D9D9D9"/>
              <w:bottom w:val="single" w:sz="4" w:color="D9D9D9"/>
              <w:right w:val="single" w:sz="4" w:color="D9D9D9"/>
            </w:tcBorders>
          </w:tcPr>
          <w:p>
            <w:pPr>
              <w:spacing w:before="100" w:after="100"/>
            </w:pPr>
            <w:r>
              <w:rPr>
                <w:b w:val="0"/>
                <w:sz w:val="21"/>
              </w:rPr>
              <w:t>n</w:t>
            </w:r>
          </w:p>
        </w:tc>
        <w:tc>
          <w:tcPr>
            <w:tcW w:type="dxa" w:w="8352"/>
            <w:tcBorders>
              <w:top w:val="single" w:sz="4" w:color="D9D9D9"/>
              <w:left w:val="single" w:sz="4" w:color="D9D9D9"/>
              <w:bottom w:val="single" w:sz="4" w:color="D9D9D9"/>
              <w:right w:val="single" w:sz="4" w:color="D9D9D9"/>
            </w:tcBorders>
          </w:tcPr>
          <w:p>
            <w:pPr>
              <w:spacing w:before="100" w:after="100"/>
            </w:pPr>
            <w:r>
              <w:rPr>
                <w:b w:val="0"/>
                <w:sz w:val="21"/>
              </w:rPr>
              <w:t>Número de periodos y de pagos de la serie uniforme</w:t>
            </w:r>
          </w:p>
        </w:tc>
      </w:tr>
    </w:tbl>
    <w:p/>
    <w:p>
      <w:pPr>
        <w:pStyle w:val="Heading1"/>
      </w:pPr>
      <w:r>
        <w:t>El momento del depósito cambia la acumulación</w:t>
      </w:r>
    </w:p>
    <w:p>
      <w:r>
        <w:t>En la suma planteada para María, los depósitos ganan desde uno hasta dieciséis años de intereses. Para representarla, situamos 16 depósitos al inicio de los años y evaluamos el saldo al terminar el año 16.</w:t>
      </w:r>
    </w:p>
    <w:tbl>
      <w:tblPr>
        <w:tblW w:type="auto" w:w="0"/>
        <w:tblLayout w:type="fixed"/>
        <w:tblLook w:firstColumn="1" w:firstRow="1" w:lastColumn="0" w:lastRow="0" w:noHBand="0" w:noVBand="1" w:val="04A0"/>
      </w:tblPr>
      <w:tblGrid>
        <w:gridCol w:w="2484"/>
        <w:gridCol w:w="2484"/>
        <w:gridCol w:w="2484"/>
        <w:gridCol w:w="2484"/>
      </w:tblGrid>
      <w:tr>
        <w:tc>
          <w:tcPr>
            <w:tcW w:type="dxa" w:w="1872"/>
            <w:tcBorders>
              <w:top w:val="single" w:sz="4" w:color="D9D9D9"/>
              <w:left w:val="single" w:sz="4" w:color="D9D9D9"/>
              <w:bottom w:val="single" w:sz="4" w:color="D9D9D9"/>
              <w:right w:val="single" w:sz="4" w:color="D9D9D9"/>
            </w:tcBorders>
            <w:shd w:fill="DCE6EF"/>
          </w:tcPr>
          <w:p>
            <w:pPr>
              <w:spacing w:before="100" w:after="100"/>
            </w:pPr>
            <w:r>
              <w:rPr>
                <w:b/>
                <w:sz w:val="21"/>
              </w:rPr>
              <w:t>Caso</w:t>
            </w:r>
          </w:p>
        </w:tc>
        <w:tc>
          <w:tcPr>
            <w:tcW w:type="dxa" w:w="3600"/>
            <w:tcBorders>
              <w:top w:val="single" w:sz="4" w:color="D9D9D9"/>
              <w:left w:val="single" w:sz="4" w:color="D9D9D9"/>
              <w:bottom w:val="single" w:sz="4" w:color="D9D9D9"/>
              <w:right w:val="single" w:sz="4" w:color="D9D9D9"/>
            </w:tcBorders>
            <w:shd w:fill="DCE6EF"/>
          </w:tcPr>
          <w:p>
            <w:pPr>
              <w:spacing w:before="100" w:after="100"/>
            </w:pPr>
            <w:r>
              <w:rPr>
                <w:b/>
                <w:sz w:val="21"/>
              </w:rPr>
              <w:t>Fechas de los 16 depósitos</w:t>
            </w:r>
          </w:p>
        </w:tc>
        <w:tc>
          <w:tcPr>
            <w:tcW w:type="dxa" w:w="1440"/>
            <w:tcBorders>
              <w:top w:val="single" w:sz="4" w:color="D9D9D9"/>
              <w:left w:val="single" w:sz="4" w:color="D9D9D9"/>
              <w:bottom w:val="single" w:sz="4" w:color="D9D9D9"/>
              <w:right w:val="single" w:sz="4" w:color="D9D9D9"/>
            </w:tcBorders>
            <w:shd w:fill="DCE6EF"/>
          </w:tcPr>
          <w:p>
            <w:pPr>
              <w:spacing w:before="100" w:after="100"/>
            </w:pPr>
            <w:r>
              <w:rPr>
                <w:b/>
                <w:sz w:val="21"/>
              </w:rPr>
              <w:t>Fecha de F</w:t>
            </w:r>
          </w:p>
        </w:tc>
        <w:tc>
          <w:tcPr>
            <w:tcW w:type="dxa" w:w="2880"/>
            <w:tcBorders>
              <w:top w:val="single" w:sz="4" w:color="D9D9D9"/>
              <w:left w:val="single" w:sz="4" w:color="D9D9D9"/>
              <w:bottom w:val="single" w:sz="4" w:color="D9D9D9"/>
              <w:right w:val="single" w:sz="4" w:color="D9D9D9"/>
            </w:tcBorders>
            <w:shd w:fill="DCE6EF"/>
          </w:tcPr>
          <w:p>
            <w:pPr>
              <w:spacing w:before="100" w:after="100"/>
            </w:pPr>
            <w:r>
              <w:rPr>
                <w:b/>
                <w:sz w:val="21"/>
              </w:rPr>
              <w:t>Exponentes</w:t>
            </w:r>
          </w:p>
        </w:tc>
      </w:tr>
      <w:tr>
        <w:tc>
          <w:tcPr>
            <w:tcW w:type="dxa" w:w="1872"/>
            <w:tcBorders>
              <w:top w:val="single" w:sz="4" w:color="D9D9D9"/>
              <w:left w:val="single" w:sz="4" w:color="D9D9D9"/>
              <w:bottom w:val="single" w:sz="4" w:color="D9D9D9"/>
              <w:right w:val="single" w:sz="4" w:color="D9D9D9"/>
            </w:tcBorders>
          </w:tcPr>
          <w:p>
            <w:pPr>
              <w:spacing w:before="100" w:after="100"/>
            </w:pPr>
            <w:r>
              <w:rPr>
                <w:b w:val="0"/>
                <w:sz w:val="21"/>
              </w:rPr>
              <w:t>Anticipada</w:t>
            </w:r>
          </w:p>
        </w:tc>
        <w:tc>
          <w:tcPr>
            <w:tcW w:type="dxa" w:w="3600"/>
            <w:tcBorders>
              <w:top w:val="single" w:sz="4" w:color="D9D9D9"/>
              <w:left w:val="single" w:sz="4" w:color="D9D9D9"/>
              <w:bottom w:val="single" w:sz="4" w:color="D9D9D9"/>
              <w:right w:val="single" w:sz="4" w:color="D9D9D9"/>
            </w:tcBorders>
          </w:tcPr>
          <w:p>
            <w:pPr>
              <w:spacing w:before="100" w:after="100"/>
            </w:pPr>
            <w:r>
              <w:rPr>
                <w:b w:val="0"/>
                <w:sz w:val="21"/>
              </w:rPr>
              <w:t>0, 1, …, 15</w:t>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1"/>
              </w:rPr>
              <w:t>16</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1"/>
              </w:rPr>
              <w:t>16, 15, …, 1</w:t>
            </w:r>
          </w:p>
        </w:tc>
      </w:tr>
      <w:tr>
        <w:tc>
          <w:tcPr>
            <w:tcW w:type="dxa" w:w="1872"/>
            <w:tcBorders>
              <w:top w:val="single" w:sz="4" w:color="D9D9D9"/>
              <w:left w:val="single" w:sz="4" w:color="D9D9D9"/>
              <w:bottom w:val="single" w:sz="4" w:color="D9D9D9"/>
              <w:right w:val="single" w:sz="4" w:color="D9D9D9"/>
            </w:tcBorders>
          </w:tcPr>
          <w:p>
            <w:pPr>
              <w:spacing w:before="100" w:after="100"/>
            </w:pPr>
            <w:r>
              <w:rPr>
                <w:b w:val="0"/>
                <w:sz w:val="21"/>
              </w:rPr>
              <w:t>Vencida</w:t>
            </w:r>
          </w:p>
        </w:tc>
        <w:tc>
          <w:tcPr>
            <w:tcW w:type="dxa" w:w="3600"/>
            <w:tcBorders>
              <w:top w:val="single" w:sz="4" w:color="D9D9D9"/>
              <w:left w:val="single" w:sz="4" w:color="D9D9D9"/>
              <w:bottom w:val="single" w:sz="4" w:color="D9D9D9"/>
              <w:right w:val="single" w:sz="4" w:color="D9D9D9"/>
            </w:tcBorders>
          </w:tcPr>
          <w:p>
            <w:pPr>
              <w:spacing w:before="100" w:after="100"/>
            </w:pPr>
            <w:r>
              <w:rPr>
                <w:b w:val="0"/>
                <w:sz w:val="21"/>
              </w:rPr>
              <w:t>1, 2, …, 16</w:t>
            </w:r>
          </w:p>
        </w:tc>
        <w:tc>
          <w:tcPr>
            <w:tcW w:type="dxa" w:w="1440"/>
            <w:tcBorders>
              <w:top w:val="single" w:sz="4" w:color="D9D9D9"/>
              <w:left w:val="single" w:sz="4" w:color="D9D9D9"/>
              <w:bottom w:val="single" w:sz="4" w:color="D9D9D9"/>
              <w:right w:val="single" w:sz="4" w:color="D9D9D9"/>
            </w:tcBorders>
          </w:tcPr>
          <w:p>
            <w:pPr>
              <w:spacing w:before="100" w:after="100"/>
            </w:pPr>
            <w:r>
              <w:rPr>
                <w:b w:val="0"/>
                <w:sz w:val="21"/>
              </w:rPr>
              <w:t>16</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1"/>
              </w:rPr>
              <w:t>15, 14, …, 0</w:t>
            </w:r>
          </w:p>
        </w:tc>
      </w:tr>
    </w:tbl>
    <w:p/>
    <w:p>
      <w:r>
        <w:t>En ambos casos hay 16 depósitos. En la serie vencida, el último coincide con la fecha de valoración y todavía no gana intereses. En la anticipada, cada depósito gana un año adicional.</w:t>
      </w:r>
    </w:p>
    <w:p>
      <w:r>
        <w:br w:type="page"/>
      </w:r>
    </w:p>
    <w:p>
      <w:pPr>
        <w:pStyle w:val="Heading1"/>
      </w:pPr>
      <w:r>
        <w:t>De la suma a la fórmula general</w:t>
      </w:r>
    </w:p>
    <w:p>
      <w:r>
        <w:t>Primero derivamos la fórmula para depósitos vencidos. Cada depósito se lleva a la misma fecha final; el primero gana n − 1 periodos de intereses y el último gana cero.</w:t>
      </w:r>
    </w:p>
    <w:p>
      <w:pPr>
        <w:jc w:val="center"/>
      </w:pPr>
      <w:r>
        <w:drawing>
          <wp:inline xmlns:a="http://schemas.openxmlformats.org/drawingml/2006/main" xmlns:pic="http://schemas.openxmlformats.org/drawingml/2006/picture">
            <wp:extent cx="5677592" cy="768927"/>
            <wp:docPr id="1" name="Picture 1"/>
            <wp:cNvGraphicFramePr>
              <a:graphicFrameLocks noChangeAspect="1"/>
            </wp:cNvGraphicFramePr>
            <a:graphic>
              <a:graphicData uri="http://schemas.openxmlformats.org/drawingml/2006/picture">
                <pic:pic>
                  <pic:nvPicPr>
                    <pic:cNvPr id="0" name="eq1.png"/>
                    <pic:cNvPicPr/>
                  </pic:nvPicPr>
                  <pic:blipFill>
                    <a:blip r:embed="rId10"/>
                    <a:stretch>
                      <a:fillRect/>
                    </a:stretch>
                  </pic:blipFill>
                  <pic:spPr>
                    <a:xfrm>
                      <a:off x="0" y="0"/>
                      <a:ext cx="5677592" cy="768927"/>
                    </a:xfrm>
                    <a:prstGeom prst="rect"/>
                  </pic:spPr>
                </pic:pic>
              </a:graphicData>
            </a:graphic>
          </wp:inline>
        </w:drawing>
      </w:r>
    </w:p>
    <w:p>
      <w:r>
        <w:t>A es constante y puede quedar fuera de la suma. El índice k recorre los exponentes; n cuenta los pagos. Para simplificar, definimos q = 1 + i y llamamos S a la suma de potencias.</w:t>
      </w:r>
    </w:p>
    <w:p>
      <w:pPr>
        <w:jc w:val="center"/>
      </w:pPr>
      <w:r>
        <w:drawing>
          <wp:inline xmlns:a="http://schemas.openxmlformats.org/drawingml/2006/main" xmlns:pic="http://schemas.openxmlformats.org/drawingml/2006/picture">
            <wp:extent cx="3125585" cy="378229"/>
            <wp:docPr id="2" name="Picture 2"/>
            <wp:cNvGraphicFramePr>
              <a:graphicFrameLocks noChangeAspect="1"/>
            </wp:cNvGraphicFramePr>
            <a:graphic>
              <a:graphicData uri="http://schemas.openxmlformats.org/drawingml/2006/picture">
                <pic:pic>
                  <pic:nvPicPr>
                    <pic:cNvPr id="0" name="eq2.png"/>
                    <pic:cNvPicPr/>
                  </pic:nvPicPr>
                  <pic:blipFill>
                    <a:blip r:embed="rId11"/>
                    <a:stretch>
                      <a:fillRect/>
                    </a:stretch>
                  </pic:blipFill>
                  <pic:spPr>
                    <a:xfrm>
                      <a:off x="0" y="0"/>
                      <a:ext cx="3125585" cy="378229"/>
                    </a:xfrm>
                    <a:prstGeom prst="rect"/>
                  </pic:spPr>
                </pic:pic>
              </a:graphicData>
            </a:graphic>
          </wp:inline>
        </w:drawing>
      </w:r>
    </w:p>
    <w:p>
      <w:pPr>
        <w:jc w:val="center"/>
      </w:pPr>
      <w:r>
        <w:drawing>
          <wp:inline xmlns:a="http://schemas.openxmlformats.org/drawingml/2006/main" xmlns:pic="http://schemas.openxmlformats.org/drawingml/2006/picture">
            <wp:extent cx="3092334" cy="378229"/>
            <wp:docPr id="3" name="Picture 3"/>
            <wp:cNvGraphicFramePr>
              <a:graphicFrameLocks noChangeAspect="1"/>
            </wp:cNvGraphicFramePr>
            <a:graphic>
              <a:graphicData uri="http://schemas.openxmlformats.org/drawingml/2006/picture">
                <pic:pic>
                  <pic:nvPicPr>
                    <pic:cNvPr id="0" name="eq3.png"/>
                    <pic:cNvPicPr/>
                  </pic:nvPicPr>
                  <pic:blipFill>
                    <a:blip r:embed="rId12"/>
                    <a:stretch>
                      <a:fillRect/>
                    </a:stretch>
                  </pic:blipFill>
                  <pic:spPr>
                    <a:xfrm>
                      <a:off x="0" y="0"/>
                      <a:ext cx="3092334" cy="378229"/>
                    </a:xfrm>
                    <a:prstGeom prst="rect"/>
                  </pic:spPr>
                </pic:pic>
              </a:graphicData>
            </a:graphic>
          </wp:inline>
        </w:drawing>
      </w:r>
    </w:p>
    <w:p>
      <w:r>
        <w:t>Restamos la primera igualdad de la segunda. Los términos intermedios se cancelan:</w:t>
      </w:r>
    </w:p>
    <w:p>
      <w:pPr>
        <w:jc w:val="center"/>
      </w:pPr>
      <w:r>
        <w:drawing>
          <wp:inline xmlns:a="http://schemas.openxmlformats.org/drawingml/2006/main" xmlns:pic="http://schemas.openxmlformats.org/drawingml/2006/picture">
            <wp:extent cx="3744883" cy="507076"/>
            <wp:docPr id="4" name="Picture 4"/>
            <wp:cNvGraphicFramePr>
              <a:graphicFrameLocks noChangeAspect="1"/>
            </wp:cNvGraphicFramePr>
            <a:graphic>
              <a:graphicData uri="http://schemas.openxmlformats.org/drawingml/2006/picture">
                <pic:pic>
                  <pic:nvPicPr>
                    <pic:cNvPr id="0" name="eq4.png"/>
                    <pic:cNvPicPr/>
                  </pic:nvPicPr>
                  <pic:blipFill>
                    <a:blip r:embed="rId13"/>
                    <a:stretch>
                      <a:fillRect/>
                    </a:stretch>
                  </pic:blipFill>
                  <pic:spPr>
                    <a:xfrm>
                      <a:off x="0" y="0"/>
                      <a:ext cx="3744883" cy="507076"/>
                    </a:xfrm>
                    <a:prstGeom prst="rect"/>
                  </pic:spPr>
                </pic:pic>
              </a:graphicData>
            </a:graphic>
          </wp:inline>
        </w:drawing>
      </w:r>
    </w:p>
    <w:p>
      <w:r>
        <w:t>Como q − 1 = i, la serie uniforme vencida queda:</w:t>
      </w:r>
    </w:p>
    <w:p>
      <w:pPr>
        <w:jc w:val="center"/>
      </w:pPr>
      <w:r>
        <w:drawing>
          <wp:inline xmlns:a="http://schemas.openxmlformats.org/drawingml/2006/main" xmlns:pic="http://schemas.openxmlformats.org/drawingml/2006/picture">
            <wp:extent cx="3096490" cy="469669"/>
            <wp:docPr id="5" name="Picture 5"/>
            <wp:cNvGraphicFramePr>
              <a:graphicFrameLocks noChangeAspect="1"/>
            </wp:cNvGraphicFramePr>
            <a:graphic>
              <a:graphicData uri="http://schemas.openxmlformats.org/drawingml/2006/picture">
                <pic:pic>
                  <pic:nvPicPr>
                    <pic:cNvPr id="0" name="eq5.png"/>
                    <pic:cNvPicPr/>
                  </pic:nvPicPr>
                  <pic:blipFill>
                    <a:blip r:embed="rId14"/>
                    <a:stretch>
                      <a:fillRect/>
                    </a:stretch>
                  </pic:blipFill>
                  <pic:spPr>
                    <a:xfrm>
                      <a:off x="0" y="0"/>
                      <a:ext cx="3096490" cy="469669"/>
                    </a:xfrm>
                    <a:prstGeom prst="rect"/>
                  </pic:spPr>
                </pic:pic>
              </a:graphicData>
            </a:graphic>
          </wp:inline>
        </w:drawing>
      </w:r>
    </w:p>
    <w:p>
      <w:r>
        <w:t>El factor (F/A,i,n) se lee: encontrar F dado A, con tasa i y n periodos. Es un multiplicador de equivalencia; la barra identifica la cantidad buscada y la conocida.</w:t>
      </w:r>
    </w:p>
    <w:p>
      <w:r>
        <w:t>Para exponentes consecutivos desde a hasta b, con b ≥ a, la misma cancelación produce:</w:t>
      </w:r>
    </w:p>
    <w:p>
      <w:pPr>
        <w:jc w:val="center"/>
      </w:pPr>
      <w:r>
        <w:drawing>
          <wp:inline xmlns:a="http://schemas.openxmlformats.org/drawingml/2006/main" xmlns:pic="http://schemas.openxmlformats.org/drawingml/2006/picture">
            <wp:extent cx="4098174" cy="773083"/>
            <wp:docPr id="6" name="Picture 6"/>
            <wp:cNvGraphicFramePr>
              <a:graphicFrameLocks noChangeAspect="1"/>
            </wp:cNvGraphicFramePr>
            <a:graphic>
              <a:graphicData uri="http://schemas.openxmlformats.org/drawingml/2006/picture">
                <pic:pic>
                  <pic:nvPicPr>
                    <pic:cNvPr id="0" name="eq6.png"/>
                    <pic:cNvPicPr/>
                  </pic:nvPicPr>
                  <pic:blipFill>
                    <a:blip r:embed="rId15"/>
                    <a:stretch>
                      <a:fillRect/>
                    </a:stretch>
                  </pic:blipFill>
                  <pic:spPr>
                    <a:xfrm>
                      <a:off x="0" y="0"/>
                      <a:ext cx="4098174" cy="773083"/>
                    </a:xfrm>
                    <a:prstGeom prst="rect"/>
                  </pic:spPr>
                </pic:pic>
              </a:graphicData>
            </a:graphic>
          </wp:inline>
        </w:drawing>
      </w:r>
    </w:p>
    <w:p>
      <w:r>
        <w:t>Estas expresiones requieren i ≠ 0. Si i = 0, cada factor de acumulación vale 1 y el resultado es simplemente A multiplicado por el número de pagos.</w:t>
      </w:r>
    </w:p>
    <w:p>
      <w:r>
        <w:br w:type="page"/>
      </w:r>
    </w:p>
    <w:p>
      <w:pPr>
        <w:pStyle w:val="Heading1"/>
      </w:pPr>
      <w:r>
        <w:t>Comprobar la equivalencia y regresar a María</w:t>
      </w:r>
    </w:p>
    <w:p>
      <w:r>
        <w:t>La derivación anterior demuestra que la suma y la fórmula son equivalentes para cualquier entero positivo n. Podemos comprobarlo con el ejemplo de tres depósitos de $2,000 y una tasa del 10 % por periodo.</w:t>
      </w:r>
    </w:p>
    <w:p>
      <w:pPr>
        <w:pStyle w:val="Heading1"/>
      </w:pPr>
      <w:r>
        <w:t>Depósitos al final de cada periodo</w:t>
      </w:r>
    </w:p>
    <w:p>
      <w:pPr>
        <w:jc w:val="center"/>
      </w:pPr>
      <w:r>
        <w:drawing>
          <wp:inline xmlns:a="http://schemas.openxmlformats.org/drawingml/2006/main" xmlns:pic="http://schemas.openxmlformats.org/drawingml/2006/picture">
            <wp:extent cx="5424054" cy="357447"/>
            <wp:docPr id="7" name="Picture 7"/>
            <wp:cNvGraphicFramePr>
              <a:graphicFrameLocks noChangeAspect="1"/>
            </wp:cNvGraphicFramePr>
            <a:graphic>
              <a:graphicData uri="http://schemas.openxmlformats.org/drawingml/2006/picture">
                <pic:pic>
                  <pic:nvPicPr>
                    <pic:cNvPr id="0" name="eq7.png"/>
                    <pic:cNvPicPr/>
                  </pic:nvPicPr>
                  <pic:blipFill>
                    <a:blip r:embed="rId16"/>
                    <a:stretch>
                      <a:fillRect/>
                    </a:stretch>
                  </pic:blipFill>
                  <pic:spPr>
                    <a:xfrm>
                      <a:off x="0" y="0"/>
                      <a:ext cx="5424054" cy="357447"/>
                    </a:xfrm>
                    <a:prstGeom prst="rect"/>
                  </pic:spPr>
                </pic:pic>
              </a:graphicData>
            </a:graphic>
          </wp:inline>
        </w:drawing>
      </w:r>
    </w:p>
    <w:p>
      <w:pPr>
        <w:jc w:val="center"/>
      </w:pPr>
      <w:r>
        <w:drawing>
          <wp:inline xmlns:a="http://schemas.openxmlformats.org/drawingml/2006/main" xmlns:pic="http://schemas.openxmlformats.org/drawingml/2006/picture">
            <wp:extent cx="4605250" cy="490450"/>
            <wp:docPr id="8" name="Picture 8"/>
            <wp:cNvGraphicFramePr>
              <a:graphicFrameLocks noChangeAspect="1"/>
            </wp:cNvGraphicFramePr>
            <a:graphic>
              <a:graphicData uri="http://schemas.openxmlformats.org/drawingml/2006/picture">
                <pic:pic>
                  <pic:nvPicPr>
                    <pic:cNvPr id="0" name="eq8.png"/>
                    <pic:cNvPicPr/>
                  </pic:nvPicPr>
                  <pic:blipFill>
                    <a:blip r:embed="rId17"/>
                    <a:stretch>
                      <a:fillRect/>
                    </a:stretch>
                  </pic:blipFill>
                  <pic:spPr>
                    <a:xfrm>
                      <a:off x="0" y="0"/>
                      <a:ext cx="4605250" cy="490450"/>
                    </a:xfrm>
                    <a:prstGeom prst="rect"/>
                  </pic:spPr>
                </pic:pic>
              </a:graphicData>
            </a:graphic>
          </wp:inline>
        </w:drawing>
      </w:r>
    </w:p>
    <w:p>
      <w:r>
        <w:t>Ambos procedimientos dan $6,620 porque utilizan los mismos depósitos y la misma fecha de valoración.</w:t>
      </w:r>
    </w:p>
    <w:p>
      <w:pPr>
        <w:pStyle w:val="Heading1"/>
      </w:pPr>
      <w:r>
        <w:t>Depósitos al inicio de cada periodo</w:t>
      </w:r>
    </w:p>
    <w:p>
      <w:pPr>
        <w:jc w:val="center"/>
      </w:pPr>
      <w:r>
        <w:drawing>
          <wp:inline xmlns:a="http://schemas.openxmlformats.org/drawingml/2006/main" xmlns:pic="http://schemas.openxmlformats.org/drawingml/2006/picture">
            <wp:extent cx="6126480" cy="350084"/>
            <wp:docPr id="9" name="Picture 9"/>
            <wp:cNvGraphicFramePr>
              <a:graphicFrameLocks noChangeAspect="1"/>
            </wp:cNvGraphicFramePr>
            <a:graphic>
              <a:graphicData uri="http://schemas.openxmlformats.org/drawingml/2006/picture">
                <pic:pic>
                  <pic:nvPicPr>
                    <pic:cNvPr id="0" name="eq9.png"/>
                    <pic:cNvPicPr/>
                  </pic:nvPicPr>
                  <pic:blipFill>
                    <a:blip r:embed="rId18"/>
                    <a:stretch>
                      <a:fillRect/>
                    </a:stretch>
                  </pic:blipFill>
                  <pic:spPr>
                    <a:xfrm>
                      <a:off x="0" y="0"/>
                      <a:ext cx="6126480" cy="350084"/>
                    </a:xfrm>
                    <a:prstGeom prst="rect"/>
                  </pic:spPr>
                </pic:pic>
              </a:graphicData>
            </a:graphic>
          </wp:inline>
        </w:drawing>
      </w:r>
    </w:p>
    <w:p>
      <w:pPr>
        <w:jc w:val="center"/>
      </w:pPr>
      <w:r>
        <w:drawing>
          <wp:inline xmlns:a="http://schemas.openxmlformats.org/drawingml/2006/main" xmlns:pic="http://schemas.openxmlformats.org/drawingml/2006/picture">
            <wp:extent cx="3690850" cy="490450"/>
            <wp:docPr id="10" name="Picture 10"/>
            <wp:cNvGraphicFramePr>
              <a:graphicFrameLocks noChangeAspect="1"/>
            </wp:cNvGraphicFramePr>
            <a:graphic>
              <a:graphicData uri="http://schemas.openxmlformats.org/drawingml/2006/picture">
                <pic:pic>
                  <pic:nvPicPr>
                    <pic:cNvPr id="0" name="eq10.png"/>
                    <pic:cNvPicPr/>
                  </pic:nvPicPr>
                  <pic:blipFill>
                    <a:blip r:embed="rId19"/>
                    <a:stretch>
                      <a:fillRect/>
                    </a:stretch>
                  </pic:blipFill>
                  <pic:spPr>
                    <a:xfrm>
                      <a:off x="0" y="0"/>
                      <a:ext cx="3690850" cy="490450"/>
                    </a:xfrm>
                    <a:prstGeom prst="rect"/>
                  </pic:spPr>
                </pic:pic>
              </a:graphicData>
            </a:graphic>
          </wp:inline>
        </w:drawing>
      </w:r>
    </w:p>
    <w:p>
      <w:r>
        <w:t>También coinciden la suma y su fórmula. Los saldos anticipado y vencido son distintos: el anticipado acumula un periodo adicional por cada depósito.</w:t>
      </w:r>
    </w:p>
    <w:p>
      <w:pPr>
        <w:pStyle w:val="Heading1"/>
      </w:pPr>
      <w:r>
        <w:t>La expresión para los dieciséis depósitos de María</w:t>
      </w:r>
    </w:p>
    <w:p>
      <w:r>
        <w:t>Para el planteamiento original, con exponentes desde 1 hasta 16, tenemos A = $2,000 y n = 16:</w:t>
      </w:r>
    </w:p>
    <w:p>
      <w:pPr>
        <w:jc w:val="center"/>
      </w:pPr>
      <w:r>
        <w:drawing>
          <wp:inline xmlns:a="http://schemas.openxmlformats.org/drawingml/2006/main" xmlns:pic="http://schemas.openxmlformats.org/drawingml/2006/picture">
            <wp:extent cx="4946072" cy="768927"/>
            <wp:docPr id="11" name="Picture 11"/>
            <wp:cNvGraphicFramePr>
              <a:graphicFrameLocks noChangeAspect="1"/>
            </wp:cNvGraphicFramePr>
            <a:graphic>
              <a:graphicData uri="http://schemas.openxmlformats.org/drawingml/2006/picture">
                <pic:pic>
                  <pic:nvPicPr>
                    <pic:cNvPr id="0" name="eq11.png"/>
                    <pic:cNvPicPr/>
                  </pic:nvPicPr>
                  <pic:blipFill>
                    <a:blip r:embed="rId20"/>
                    <a:stretch>
                      <a:fillRect/>
                    </a:stretch>
                  </pic:blipFill>
                  <pic:spPr>
                    <a:xfrm>
                      <a:off x="0" y="0"/>
                      <a:ext cx="4946072" cy="768927"/>
                    </a:xfrm>
                    <a:prstGeom prst="rect"/>
                  </pic:spPr>
                </pic:pic>
              </a:graphicData>
            </a:graphic>
          </wp:inline>
        </w:drawing>
      </w:r>
    </w:p>
    <w:p>
      <w:r>
        <w:t>Si los depósitos fueran vencidos, el resultado sería 2000(F/A,i,16), sin el factor adicional 1 + i. No podemos dar un saldo numérico sin especificar la tasa anual. Las aportaciones, en cualquiera de las dos cronologías, suman 16 × 2000 = $32,000.</w:t>
      </w:r>
    </w:p>
    <w:p>
      <w:r>
        <w:br w:type="page"/>
      </w:r>
    </w:p>
    <w:p>
      <w:pPr>
        <w:pStyle w:val="Heading1"/>
      </w:pPr>
      <w:r>
        <w:t>Relacionar el presente el futuro y el pago uniforme</w:t>
      </w:r>
    </w:p>
    <w:p>
      <w:r>
        <w:t>Para una serie vencida, P se encuentra en la fecha 0, un periodo antes del primer pago A. F se encuentra en la fecha n, junto al último pago. Valoramos los mismos flujos en fechas diferentes utilizando i como tasa de equivalencia.</w:t>
      </w:r>
    </w:p>
    <w:p>
      <w:pPr>
        <w:jc w:val="center"/>
      </w:pPr>
      <w:r>
        <w:drawing>
          <wp:inline xmlns:a="http://schemas.openxmlformats.org/drawingml/2006/main" xmlns:pic="http://schemas.openxmlformats.org/drawingml/2006/picture">
            <wp:extent cx="3075709" cy="328352"/>
            <wp:docPr id="12" name="Picture 12"/>
            <wp:cNvGraphicFramePr>
              <a:graphicFrameLocks noChangeAspect="1"/>
            </wp:cNvGraphicFramePr>
            <a:graphic>
              <a:graphicData uri="http://schemas.openxmlformats.org/drawingml/2006/picture">
                <pic:pic>
                  <pic:nvPicPr>
                    <pic:cNvPr id="0" name="eq12.png"/>
                    <pic:cNvPicPr/>
                  </pic:nvPicPr>
                  <pic:blipFill>
                    <a:blip r:embed="rId21"/>
                    <a:stretch>
                      <a:fillRect/>
                    </a:stretch>
                  </pic:blipFill>
                  <pic:spPr>
                    <a:xfrm>
                      <a:off x="0" y="0"/>
                      <a:ext cx="3075709" cy="328352"/>
                    </a:xfrm>
                    <a:prstGeom prst="rect"/>
                  </pic:spPr>
                </pic:pic>
              </a:graphicData>
            </a:graphic>
          </wp:inline>
        </w:drawing>
      </w:r>
    </w:p>
    <w:p>
      <w:r>
        <w:t>Sustituimos la expresión de F y distribuimos el descuento:</w:t>
      </w:r>
    </w:p>
    <w:p>
      <w:pPr>
        <w:jc w:val="center"/>
      </w:pPr>
      <w:r>
        <w:drawing>
          <wp:inline xmlns:a="http://schemas.openxmlformats.org/drawingml/2006/main" xmlns:pic="http://schemas.openxmlformats.org/drawingml/2006/picture">
            <wp:extent cx="3071552" cy="490450"/>
            <wp:docPr id="13" name="Picture 13"/>
            <wp:cNvGraphicFramePr>
              <a:graphicFrameLocks noChangeAspect="1"/>
            </wp:cNvGraphicFramePr>
            <a:graphic>
              <a:graphicData uri="http://schemas.openxmlformats.org/drawingml/2006/picture">
                <pic:pic>
                  <pic:nvPicPr>
                    <pic:cNvPr id="0" name="eq13.png"/>
                    <pic:cNvPicPr/>
                  </pic:nvPicPr>
                  <pic:blipFill>
                    <a:blip r:embed="rId22"/>
                    <a:stretch>
                      <a:fillRect/>
                    </a:stretch>
                  </pic:blipFill>
                  <pic:spPr>
                    <a:xfrm>
                      <a:off x="0" y="0"/>
                      <a:ext cx="3071552" cy="490450"/>
                    </a:xfrm>
                    <a:prstGeom prst="rect"/>
                  </pic:spPr>
                </pic:pic>
              </a:graphicData>
            </a:graphic>
          </wp:inline>
        </w:drawing>
      </w:r>
    </w:p>
    <w:p>
      <w:pPr>
        <w:jc w:val="center"/>
      </w:pPr>
      <w:r>
        <w:drawing>
          <wp:inline xmlns:a="http://schemas.openxmlformats.org/drawingml/2006/main" xmlns:pic="http://schemas.openxmlformats.org/drawingml/2006/picture">
            <wp:extent cx="1729047" cy="328352"/>
            <wp:docPr id="14" name="Picture 14"/>
            <wp:cNvGraphicFramePr>
              <a:graphicFrameLocks noChangeAspect="1"/>
            </wp:cNvGraphicFramePr>
            <a:graphic>
              <a:graphicData uri="http://schemas.openxmlformats.org/drawingml/2006/picture">
                <pic:pic>
                  <pic:nvPicPr>
                    <pic:cNvPr id="0" name="eq14.png"/>
                    <pic:cNvPicPr/>
                  </pic:nvPicPr>
                  <pic:blipFill>
                    <a:blip r:embed="rId23"/>
                    <a:stretch>
                      <a:fillRect/>
                    </a:stretch>
                  </pic:blipFill>
                  <pic:spPr>
                    <a:xfrm>
                      <a:off x="0" y="0"/>
                      <a:ext cx="1729047" cy="328352"/>
                    </a:xfrm>
                    <a:prstGeom prst="rect"/>
                  </pic:spPr>
                </pic:pic>
              </a:graphicData>
            </a:graphic>
          </wp:inline>
        </w:drawing>
      </w:r>
    </w:p>
    <w:p>
      <w:r>
        <w:t>Para comprobar la relación, llevamos P nuevamente a la fecha n:</w:t>
      </w:r>
    </w:p>
    <w:p>
      <w:pPr>
        <w:jc w:val="center"/>
      </w:pPr>
      <w:r>
        <w:drawing>
          <wp:inline xmlns:a="http://schemas.openxmlformats.org/drawingml/2006/main" xmlns:pic="http://schemas.openxmlformats.org/drawingml/2006/picture">
            <wp:extent cx="5178829" cy="469669"/>
            <wp:docPr id="15" name="Picture 15"/>
            <wp:cNvGraphicFramePr>
              <a:graphicFrameLocks noChangeAspect="1"/>
            </wp:cNvGraphicFramePr>
            <a:graphic>
              <a:graphicData uri="http://schemas.openxmlformats.org/drawingml/2006/picture">
                <pic:pic>
                  <pic:nvPicPr>
                    <pic:cNvPr id="0" name="eq15.png"/>
                    <pic:cNvPicPr/>
                  </pic:nvPicPr>
                  <pic:blipFill>
                    <a:blip r:embed="rId24"/>
                    <a:stretch>
                      <a:fillRect/>
                    </a:stretch>
                  </pic:blipFill>
                  <pic:spPr>
                    <a:xfrm>
                      <a:off x="0" y="0"/>
                      <a:ext cx="5178829" cy="469669"/>
                    </a:xfrm>
                    <a:prstGeom prst="rect"/>
                  </pic:spPr>
                </pic:pic>
              </a:graphicData>
            </a:graphic>
          </wp:inline>
        </w:drawing>
      </w:r>
    </w:p>
    <w:p>
      <w:pPr>
        <w:pStyle w:val="Heading1"/>
      </w:pPr>
      <w:r>
        <w:t>Despejar el pago uniforme</w:t>
      </w:r>
    </w:p>
    <w:p>
      <w:r>
        <w:t>Si conocemos el capital final y buscamos el depósito, dividimos entre el factor completo F/A. Si conocemos P, dividimos entre P/A:</w:t>
      </w:r>
    </w:p>
    <w:p>
      <w:pPr>
        <w:jc w:val="center"/>
      </w:pPr>
      <w:r>
        <w:drawing>
          <wp:inline xmlns:a="http://schemas.openxmlformats.org/drawingml/2006/main" xmlns:pic="http://schemas.openxmlformats.org/drawingml/2006/picture">
            <wp:extent cx="3084021" cy="465512"/>
            <wp:docPr id="16" name="Picture 16"/>
            <wp:cNvGraphicFramePr>
              <a:graphicFrameLocks noChangeAspect="1"/>
            </wp:cNvGraphicFramePr>
            <a:graphic>
              <a:graphicData uri="http://schemas.openxmlformats.org/drawingml/2006/picture">
                <pic:pic>
                  <pic:nvPicPr>
                    <pic:cNvPr id="0" name="eq16.png"/>
                    <pic:cNvPicPr/>
                  </pic:nvPicPr>
                  <pic:blipFill>
                    <a:blip r:embed="rId25"/>
                    <a:stretch>
                      <a:fillRect/>
                    </a:stretch>
                  </pic:blipFill>
                  <pic:spPr>
                    <a:xfrm>
                      <a:off x="0" y="0"/>
                      <a:ext cx="3084021" cy="465512"/>
                    </a:xfrm>
                    <a:prstGeom prst="rect"/>
                  </pic:spPr>
                </pic:pic>
              </a:graphicData>
            </a:graphic>
          </wp:inline>
        </w:drawing>
      </w:r>
    </w:p>
    <w:p>
      <w:pPr>
        <w:jc w:val="center"/>
      </w:pPr>
      <w:r>
        <w:drawing>
          <wp:inline xmlns:a="http://schemas.openxmlformats.org/drawingml/2006/main" xmlns:pic="http://schemas.openxmlformats.org/drawingml/2006/picture">
            <wp:extent cx="3100647" cy="490450"/>
            <wp:docPr id="17" name="Picture 17"/>
            <wp:cNvGraphicFramePr>
              <a:graphicFrameLocks noChangeAspect="1"/>
            </wp:cNvGraphicFramePr>
            <a:graphic>
              <a:graphicData uri="http://schemas.openxmlformats.org/drawingml/2006/picture">
                <pic:pic>
                  <pic:nvPicPr>
                    <pic:cNvPr id="0" name="eq17.png"/>
                    <pic:cNvPicPr/>
                  </pic:nvPicPr>
                  <pic:blipFill>
                    <a:blip r:embed="rId26"/>
                    <a:stretch>
                      <a:fillRect/>
                    </a:stretch>
                  </pic:blipFill>
                  <pic:spPr>
                    <a:xfrm>
                      <a:off x="0" y="0"/>
                      <a:ext cx="3100647" cy="490450"/>
                    </a:xfrm>
                    <a:prstGeom prst="rect"/>
                  </pic:spPr>
                </pic:pic>
              </a:graphicData>
            </a:graphic>
          </wp:inline>
        </w:drawing>
      </w:r>
    </w:p>
    <w:tbl>
      <w:tblPr>
        <w:tblW w:type="auto" w:w="0"/>
        <w:tblLayout w:type="fixed"/>
        <w:tblLook w:firstColumn="1" w:firstRow="1" w:lastColumn="0" w:lastRow="0" w:noHBand="0" w:noVBand="1" w:val="04A0"/>
      </w:tblPr>
      <w:tblGrid>
        <w:gridCol w:w="4968"/>
        <w:gridCol w:w="4968"/>
      </w:tblGrid>
      <w:tr>
        <w:tc>
          <w:tcPr>
            <w:tcW w:type="dxa" w:w="3168"/>
            <w:tcBorders>
              <w:top w:val="single" w:sz="4" w:color="D9D9D9"/>
              <w:left w:val="single" w:sz="4" w:color="D9D9D9"/>
              <w:bottom w:val="single" w:sz="4" w:color="D9D9D9"/>
              <w:right w:val="single" w:sz="4" w:color="D9D9D9"/>
            </w:tcBorders>
            <w:shd w:fill="DCE6EF"/>
          </w:tcPr>
          <w:p>
            <w:pPr>
              <w:spacing w:before="100" w:after="100"/>
            </w:pPr>
            <w:r>
              <w:rPr>
                <w:b/>
                <w:sz w:val="21"/>
              </w:rPr>
              <w:t>Factor</w:t>
            </w:r>
          </w:p>
        </w:tc>
        <w:tc>
          <w:tcPr>
            <w:tcW w:type="dxa" w:w="6624"/>
            <w:tcBorders>
              <w:top w:val="single" w:sz="4" w:color="D9D9D9"/>
              <w:left w:val="single" w:sz="4" w:color="D9D9D9"/>
              <w:bottom w:val="single" w:sz="4" w:color="D9D9D9"/>
              <w:right w:val="single" w:sz="4" w:color="D9D9D9"/>
            </w:tcBorders>
            <w:shd w:fill="DCE6EF"/>
          </w:tcPr>
          <w:p>
            <w:pPr>
              <w:spacing w:before="100" w:after="100"/>
            </w:pPr>
            <w:r>
              <w:rPr>
                <w:b/>
                <w:sz w:val="21"/>
              </w:rPr>
              <w:t>Cantidad que permite encontrar</w:t>
            </w:r>
          </w:p>
        </w:tc>
      </w:tr>
      <w:tr>
        <w:tc>
          <w:tcPr>
            <w:tcW w:type="dxa" w:w="3168"/>
            <w:tcBorders>
              <w:top w:val="single" w:sz="4" w:color="D9D9D9"/>
              <w:left w:val="single" w:sz="4" w:color="D9D9D9"/>
              <w:bottom w:val="single" w:sz="4" w:color="D9D9D9"/>
              <w:right w:val="single" w:sz="4" w:color="D9D9D9"/>
            </w:tcBorders>
          </w:tcPr>
          <w:p>
            <w:pPr>
              <w:spacing w:before="100" w:after="100"/>
            </w:pPr>
            <w:r>
              <w:rPr>
                <w:b w:val="0"/>
                <w:sz w:val="21"/>
              </w:rPr>
              <w:t>(F/A,i,n)</w:t>
            </w:r>
          </w:p>
        </w:tc>
        <w:tc>
          <w:tcPr>
            <w:tcW w:type="dxa" w:w="6624"/>
            <w:tcBorders>
              <w:top w:val="single" w:sz="4" w:color="D9D9D9"/>
              <w:left w:val="single" w:sz="4" w:color="D9D9D9"/>
              <w:bottom w:val="single" w:sz="4" w:color="D9D9D9"/>
              <w:right w:val="single" w:sz="4" w:color="D9D9D9"/>
            </w:tcBorders>
          </w:tcPr>
          <w:p>
            <w:pPr>
              <w:spacing w:before="100" w:after="100"/>
            </w:pPr>
            <w:r>
              <w:rPr>
                <w:b w:val="0"/>
                <w:sz w:val="21"/>
              </w:rPr>
              <w:t>F a partir de pagos uniformes A</w:t>
            </w:r>
          </w:p>
        </w:tc>
      </w:tr>
      <w:tr>
        <w:tc>
          <w:tcPr>
            <w:tcW w:type="dxa" w:w="3168"/>
            <w:tcBorders>
              <w:top w:val="single" w:sz="4" w:color="D9D9D9"/>
              <w:left w:val="single" w:sz="4" w:color="D9D9D9"/>
              <w:bottom w:val="single" w:sz="4" w:color="D9D9D9"/>
              <w:right w:val="single" w:sz="4" w:color="D9D9D9"/>
            </w:tcBorders>
          </w:tcPr>
          <w:p>
            <w:pPr>
              <w:spacing w:before="100" w:after="100"/>
            </w:pPr>
            <w:r>
              <w:rPr>
                <w:b w:val="0"/>
                <w:sz w:val="21"/>
              </w:rPr>
              <w:t>(P/A,i,n)</w:t>
            </w:r>
          </w:p>
        </w:tc>
        <w:tc>
          <w:tcPr>
            <w:tcW w:type="dxa" w:w="6624"/>
            <w:tcBorders>
              <w:top w:val="single" w:sz="4" w:color="D9D9D9"/>
              <w:left w:val="single" w:sz="4" w:color="D9D9D9"/>
              <w:bottom w:val="single" w:sz="4" w:color="D9D9D9"/>
              <w:right w:val="single" w:sz="4" w:color="D9D9D9"/>
            </w:tcBorders>
          </w:tcPr>
          <w:p>
            <w:pPr>
              <w:spacing w:before="100" w:after="100"/>
            </w:pPr>
            <w:r>
              <w:rPr>
                <w:b w:val="0"/>
                <w:sz w:val="21"/>
              </w:rPr>
              <w:t>P equivalente a los pagos uniformes A</w:t>
            </w:r>
          </w:p>
        </w:tc>
      </w:tr>
      <w:tr>
        <w:tc>
          <w:tcPr>
            <w:tcW w:type="dxa" w:w="3168"/>
            <w:tcBorders>
              <w:top w:val="single" w:sz="4" w:color="D9D9D9"/>
              <w:left w:val="single" w:sz="4" w:color="D9D9D9"/>
              <w:bottom w:val="single" w:sz="4" w:color="D9D9D9"/>
              <w:right w:val="single" w:sz="4" w:color="D9D9D9"/>
            </w:tcBorders>
          </w:tcPr>
          <w:p>
            <w:pPr>
              <w:spacing w:before="100" w:after="100"/>
            </w:pPr>
            <w:r>
              <w:rPr>
                <w:b w:val="0"/>
                <w:sz w:val="21"/>
              </w:rPr>
              <w:t>(A/F,i,n)</w:t>
            </w:r>
          </w:p>
        </w:tc>
        <w:tc>
          <w:tcPr>
            <w:tcW w:type="dxa" w:w="6624"/>
            <w:tcBorders>
              <w:top w:val="single" w:sz="4" w:color="D9D9D9"/>
              <w:left w:val="single" w:sz="4" w:color="D9D9D9"/>
              <w:bottom w:val="single" w:sz="4" w:color="D9D9D9"/>
              <w:right w:val="single" w:sz="4" w:color="D9D9D9"/>
            </w:tcBorders>
          </w:tcPr>
          <w:p>
            <w:pPr>
              <w:spacing w:before="100" w:after="100"/>
            </w:pPr>
            <w:r>
              <w:rPr>
                <w:b w:val="0"/>
                <w:sz w:val="21"/>
              </w:rPr>
              <w:t>A necesario para acumular F</w:t>
            </w:r>
          </w:p>
        </w:tc>
      </w:tr>
      <w:tr>
        <w:tc>
          <w:tcPr>
            <w:tcW w:type="dxa" w:w="3168"/>
            <w:tcBorders>
              <w:top w:val="single" w:sz="4" w:color="D9D9D9"/>
              <w:left w:val="single" w:sz="4" w:color="D9D9D9"/>
              <w:bottom w:val="single" w:sz="4" w:color="D9D9D9"/>
              <w:right w:val="single" w:sz="4" w:color="D9D9D9"/>
            </w:tcBorders>
          </w:tcPr>
          <w:p>
            <w:pPr>
              <w:spacing w:before="100" w:after="100"/>
            </w:pPr>
            <w:r>
              <w:rPr>
                <w:b w:val="0"/>
                <w:sz w:val="21"/>
              </w:rPr>
              <w:t>(A/P,i,n)</w:t>
            </w:r>
          </w:p>
        </w:tc>
        <w:tc>
          <w:tcPr>
            <w:tcW w:type="dxa" w:w="6624"/>
            <w:tcBorders>
              <w:top w:val="single" w:sz="4" w:color="D9D9D9"/>
              <w:left w:val="single" w:sz="4" w:color="D9D9D9"/>
              <w:bottom w:val="single" w:sz="4" w:color="D9D9D9"/>
              <w:right w:val="single" w:sz="4" w:color="D9D9D9"/>
            </w:tcBorders>
          </w:tcPr>
          <w:p>
            <w:pPr>
              <w:spacing w:before="100" w:after="100"/>
            </w:pPr>
            <w:r>
              <w:rPr>
                <w:b w:val="0"/>
                <w:sz w:val="21"/>
              </w:rPr>
              <w:t>A equivalente a un capital P</w:t>
            </w:r>
          </w:p>
        </w:tc>
      </w:tr>
    </w:tbl>
    <w:p/>
    <w:p>
      <w:r>
        <w:t>Los factores de esta página corresponden a pagos vencidos. Si i = 0, P = F = An y A = P/n = F/n.</w:t>
      </w:r>
    </w:p>
    <w:p>
      <w:r>
        <w:br w:type="page"/>
      </w:r>
    </w:p>
    <w:p>
      <w:pPr>
        <w:pStyle w:val="Heading1"/>
      </w:pPr>
      <w:r>
        <w:t>Juan y la búsqueda de una tasa desconocida</w:t>
      </w:r>
    </w:p>
    <w:p>
      <w:r>
        <w:t>Juan depositó $1,398 al final de cada semestre durante cinco años. Justo después del último depósito obtuvo $23,456. Suponemos una tasa constante, sin otros depósitos, retiros, comisiones ni impuestos.</w:t>
      </w:r>
    </w:p>
    <w:p>
      <w:pPr>
        <w:jc w:val="center"/>
      </w:pPr>
      <w:r>
        <w:drawing>
          <wp:inline xmlns:a="http://schemas.openxmlformats.org/drawingml/2006/main" xmlns:pic="http://schemas.openxmlformats.org/drawingml/2006/picture">
            <wp:extent cx="5104014" cy="328352"/>
            <wp:docPr id="18" name="Picture 18"/>
            <wp:cNvGraphicFramePr>
              <a:graphicFrameLocks noChangeAspect="1"/>
            </wp:cNvGraphicFramePr>
            <a:graphic>
              <a:graphicData uri="http://schemas.openxmlformats.org/drawingml/2006/picture">
                <pic:pic>
                  <pic:nvPicPr>
                    <pic:cNvPr id="0" name="eq18.png"/>
                    <pic:cNvPicPr/>
                  </pic:nvPicPr>
                  <pic:blipFill>
                    <a:blip r:embed="rId27"/>
                    <a:stretch>
                      <a:fillRect/>
                    </a:stretch>
                  </pic:blipFill>
                  <pic:spPr>
                    <a:xfrm>
                      <a:off x="0" y="0"/>
                      <a:ext cx="5104014" cy="328352"/>
                    </a:xfrm>
                    <a:prstGeom prst="rect"/>
                  </pic:spPr>
                </pic:pic>
              </a:graphicData>
            </a:graphic>
          </wp:inline>
        </w:drawing>
      </w:r>
    </w:p>
    <w:p>
      <w:r>
        <w:t>La estructura es una serie vencida, pero ahora la incógnita es la tasa efectiva semestral:</w:t>
      </w:r>
    </w:p>
    <w:p>
      <w:pPr>
        <w:jc w:val="center"/>
      </w:pPr>
      <w:r>
        <w:drawing>
          <wp:inline xmlns:a="http://schemas.openxmlformats.org/drawingml/2006/main" xmlns:pic="http://schemas.openxmlformats.org/drawingml/2006/picture">
            <wp:extent cx="4842163" cy="490450"/>
            <wp:docPr id="19" name="Picture 19"/>
            <wp:cNvGraphicFramePr>
              <a:graphicFrameLocks noChangeAspect="1"/>
            </wp:cNvGraphicFramePr>
            <a:graphic>
              <a:graphicData uri="http://schemas.openxmlformats.org/drawingml/2006/picture">
                <pic:pic>
                  <pic:nvPicPr>
                    <pic:cNvPr id="0" name="eq19.png"/>
                    <pic:cNvPicPr/>
                  </pic:nvPicPr>
                  <pic:blipFill>
                    <a:blip r:embed="rId28"/>
                    <a:stretch>
                      <a:fillRect/>
                    </a:stretch>
                  </pic:blipFill>
                  <pic:spPr>
                    <a:xfrm>
                      <a:off x="0" y="0"/>
                      <a:ext cx="4842163" cy="490450"/>
                    </a:xfrm>
                    <a:prstGeom prst="rect"/>
                  </pic:spPr>
                </pic:pic>
              </a:graphicData>
            </a:graphic>
          </wp:inline>
        </w:drawing>
      </w:r>
    </w:p>
    <w:p>
      <w:r>
        <w:t>La tasa aparece en una potencia y en un denominador; no se aísla mediante los despejes elementales anteriores. Buscamos numéricamente una tasa que haga coincidir el saldo calculado con el observado.</w:t>
      </w:r>
    </w:p>
    <w:p>
      <w:pPr>
        <w:jc w:val="center"/>
      </w:pPr>
      <w:r>
        <w:drawing>
          <wp:inline xmlns:a="http://schemas.openxmlformats.org/drawingml/2006/main" xmlns:pic="http://schemas.openxmlformats.org/drawingml/2006/picture">
            <wp:extent cx="3686694" cy="773083"/>
            <wp:docPr id="20" name="Picture 20"/>
            <wp:cNvGraphicFramePr>
              <a:graphicFrameLocks noChangeAspect="1"/>
            </wp:cNvGraphicFramePr>
            <a:graphic>
              <a:graphicData uri="http://schemas.openxmlformats.org/drawingml/2006/picture">
                <pic:pic>
                  <pic:nvPicPr>
                    <pic:cNvPr id="0" name="eq20.png"/>
                    <pic:cNvPicPr/>
                  </pic:nvPicPr>
                  <pic:blipFill>
                    <a:blip r:embed="rId29"/>
                    <a:stretch>
                      <a:fillRect/>
                    </a:stretch>
                  </pic:blipFill>
                  <pic:spPr>
                    <a:xfrm>
                      <a:off x="0" y="0"/>
                      <a:ext cx="3686694" cy="773083"/>
                    </a:xfrm>
                    <a:prstGeom prst="rect"/>
                  </pic:spPr>
                </pic:pic>
              </a:graphicData>
            </a:graphic>
          </wp:inline>
        </w:drawing>
      </w:r>
    </w:p>
    <w:p>
      <w:r>
        <w:t>Esta forma también puede evaluarse en i = 0. Bisección parte de dos tasas con residuos de signos opuestos, prueba su punto medio y conserva la mitad del intervalo que contiene la solución.</w:t>
      </w:r>
    </w:p>
    <w:tbl>
      <w:tblPr>
        <w:tblW w:type="auto" w:w="0"/>
        <w:tblLayout w:type="fixed"/>
        <w:tblLook w:firstColumn="1" w:firstRow="1" w:lastColumn="0" w:lastRow="0" w:noHBand="0" w:noVBand="1" w:val="04A0"/>
      </w:tblPr>
      <w:tblGrid>
        <w:gridCol w:w="3312"/>
        <w:gridCol w:w="3312"/>
        <w:gridCol w:w="3312"/>
      </w:tblGrid>
      <w:tr>
        <w:tc>
          <w:tcPr>
            <w:tcW w:type="dxa" w:w="2304"/>
            <w:tcBorders>
              <w:top w:val="single" w:sz="4" w:color="D9D9D9"/>
              <w:left w:val="single" w:sz="4" w:color="D9D9D9"/>
              <w:bottom w:val="single" w:sz="4" w:color="D9D9D9"/>
              <w:right w:val="single" w:sz="4" w:color="D9D9D9"/>
            </w:tcBorders>
            <w:shd w:fill="DCE6EF"/>
          </w:tcPr>
          <w:p>
            <w:pPr>
              <w:spacing w:before="100" w:after="100"/>
            </w:pPr>
            <w:r>
              <w:rPr>
                <w:b/>
                <w:sz w:val="21"/>
              </w:rPr>
              <w:t>Tasa semestral</w:t>
            </w:r>
          </w:p>
        </w:tc>
        <w:tc>
          <w:tcPr>
            <w:tcW w:type="dxa" w:w="2592"/>
            <w:tcBorders>
              <w:top w:val="single" w:sz="4" w:color="D9D9D9"/>
              <w:left w:val="single" w:sz="4" w:color="D9D9D9"/>
              <w:bottom w:val="single" w:sz="4" w:color="D9D9D9"/>
              <w:right w:val="single" w:sz="4" w:color="D9D9D9"/>
            </w:tcBorders>
            <w:shd w:fill="DCE6EF"/>
          </w:tcPr>
          <w:p>
            <w:pPr>
              <w:spacing w:before="100" w:after="100"/>
            </w:pPr>
            <w:r>
              <w:rPr>
                <w:b/>
                <w:sz w:val="21"/>
              </w:rPr>
              <w:t>Saldo calculado</w:t>
            </w:r>
          </w:p>
        </w:tc>
        <w:tc>
          <w:tcPr>
            <w:tcW w:type="dxa" w:w="4896"/>
            <w:tcBorders>
              <w:top w:val="single" w:sz="4" w:color="D9D9D9"/>
              <w:left w:val="single" w:sz="4" w:color="D9D9D9"/>
              <w:bottom w:val="single" w:sz="4" w:color="D9D9D9"/>
              <w:right w:val="single" w:sz="4" w:color="D9D9D9"/>
            </w:tcBorders>
            <w:shd w:fill="DCE6EF"/>
          </w:tcPr>
          <w:p>
            <w:pPr>
              <w:spacing w:before="100" w:after="100"/>
            </w:pPr>
            <w:r>
              <w:rPr>
                <w:b/>
                <w:sz w:val="21"/>
              </w:rPr>
              <w:t>Comparación con $23,456</w:t>
            </w:r>
          </w:p>
        </w:tc>
      </w:tr>
      <w:tr>
        <w:tc>
          <w:tcPr>
            <w:tcW w:type="dxa" w:w="2304"/>
            <w:tcBorders>
              <w:top w:val="single" w:sz="4" w:color="D9D9D9"/>
              <w:left w:val="single" w:sz="4" w:color="D9D9D9"/>
              <w:bottom w:val="single" w:sz="4" w:color="D9D9D9"/>
              <w:right w:val="single" w:sz="4" w:color="D9D9D9"/>
            </w:tcBorders>
          </w:tcPr>
          <w:p>
            <w:pPr>
              <w:spacing w:before="100" w:after="100"/>
            </w:pPr>
            <w:r>
              <w:rPr>
                <w:b w:val="0"/>
                <w:sz w:val="21"/>
              </w:rPr>
              <w:t>10 %</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1"/>
              </w:rPr>
              <w:t>$22,280.52</w:t>
            </w:r>
          </w:p>
        </w:tc>
        <w:tc>
          <w:tcPr>
            <w:tcW w:type="dxa" w:w="4896"/>
            <w:tcBorders>
              <w:top w:val="single" w:sz="4" w:color="D9D9D9"/>
              <w:left w:val="single" w:sz="4" w:color="D9D9D9"/>
              <w:bottom w:val="single" w:sz="4" w:color="D9D9D9"/>
              <w:right w:val="single" w:sz="4" w:color="D9D9D9"/>
            </w:tcBorders>
          </w:tcPr>
          <w:p>
            <w:pPr>
              <w:spacing w:before="100" w:after="100"/>
            </w:pPr>
            <w:r>
              <w:rPr>
                <w:b w:val="0"/>
                <w:sz w:val="21"/>
              </w:rPr>
              <w:t>Menor</w:t>
            </w:r>
          </w:p>
        </w:tc>
      </w:tr>
      <w:tr>
        <w:tc>
          <w:tcPr>
            <w:tcW w:type="dxa" w:w="2304"/>
            <w:tcBorders>
              <w:top w:val="single" w:sz="4" w:color="D9D9D9"/>
              <w:left w:val="single" w:sz="4" w:color="D9D9D9"/>
              <w:bottom w:val="single" w:sz="4" w:color="D9D9D9"/>
              <w:right w:val="single" w:sz="4" w:color="D9D9D9"/>
            </w:tcBorders>
          </w:tcPr>
          <w:p>
            <w:pPr>
              <w:spacing w:before="100" w:after="100"/>
            </w:pPr>
            <w:r>
              <w:rPr>
                <w:b w:val="0"/>
                <w:sz w:val="21"/>
              </w:rPr>
              <w:t>12 %</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1"/>
              </w:rPr>
              <w:t>$24,533.13</w:t>
            </w:r>
          </w:p>
        </w:tc>
        <w:tc>
          <w:tcPr>
            <w:tcW w:type="dxa" w:w="4896"/>
            <w:tcBorders>
              <w:top w:val="single" w:sz="4" w:color="D9D9D9"/>
              <w:left w:val="single" w:sz="4" w:color="D9D9D9"/>
              <w:bottom w:val="single" w:sz="4" w:color="D9D9D9"/>
              <w:right w:val="single" w:sz="4" w:color="D9D9D9"/>
            </w:tcBorders>
          </w:tcPr>
          <w:p>
            <w:pPr>
              <w:spacing w:before="100" w:after="100"/>
            </w:pPr>
            <w:r>
              <w:rPr>
                <w:b w:val="0"/>
                <w:sz w:val="21"/>
              </w:rPr>
              <w:t>Mayor</w:t>
            </w:r>
          </w:p>
        </w:tc>
      </w:tr>
      <w:tr>
        <w:tc>
          <w:tcPr>
            <w:tcW w:type="dxa" w:w="2304"/>
            <w:tcBorders>
              <w:top w:val="single" w:sz="4" w:color="D9D9D9"/>
              <w:left w:val="single" w:sz="4" w:color="D9D9D9"/>
              <w:bottom w:val="single" w:sz="4" w:color="D9D9D9"/>
              <w:right w:val="single" w:sz="4" w:color="D9D9D9"/>
            </w:tcBorders>
          </w:tcPr>
          <w:p>
            <w:pPr>
              <w:spacing w:before="100" w:after="100"/>
            </w:pPr>
            <w:r>
              <w:rPr>
                <w:b w:val="0"/>
                <w:sz w:val="21"/>
              </w:rPr>
              <w:t>11.0697166 %</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1"/>
              </w:rPr>
              <w:t>$23,456.00</w:t>
            </w:r>
          </w:p>
        </w:tc>
        <w:tc>
          <w:tcPr>
            <w:tcW w:type="dxa" w:w="4896"/>
            <w:tcBorders>
              <w:top w:val="single" w:sz="4" w:color="D9D9D9"/>
              <w:left w:val="single" w:sz="4" w:color="D9D9D9"/>
              <w:bottom w:val="single" w:sz="4" w:color="D9D9D9"/>
              <w:right w:val="single" w:sz="4" w:color="D9D9D9"/>
            </w:tcBorders>
          </w:tcPr>
          <w:p>
            <w:pPr>
              <w:spacing w:before="100" w:after="100"/>
            </w:pPr>
            <w:r>
              <w:rPr>
                <w:b w:val="0"/>
                <w:sz w:val="21"/>
              </w:rPr>
              <w:t>Coincide al redondear</w:t>
            </w:r>
          </w:p>
        </w:tc>
      </w:tr>
    </w:tbl>
    <w:p/>
    <w:p>
      <w:pPr>
        <w:jc w:val="center"/>
      </w:pPr>
      <w:r>
        <w:drawing>
          <wp:inline xmlns:a="http://schemas.openxmlformats.org/drawingml/2006/main" xmlns:pic="http://schemas.openxmlformats.org/drawingml/2006/picture">
            <wp:extent cx="5606934" cy="328352"/>
            <wp:docPr id="21" name="Picture 21"/>
            <wp:cNvGraphicFramePr>
              <a:graphicFrameLocks noChangeAspect="1"/>
            </wp:cNvGraphicFramePr>
            <a:graphic>
              <a:graphicData uri="http://schemas.openxmlformats.org/drawingml/2006/picture">
                <pic:pic>
                  <pic:nvPicPr>
                    <pic:cNvPr id="0" name="eq21.png"/>
                    <pic:cNvPicPr/>
                  </pic:nvPicPr>
                  <pic:blipFill>
                    <a:blip r:embed="rId30"/>
                    <a:stretch>
                      <a:fillRect/>
                    </a:stretch>
                  </pic:blipFill>
                  <pic:spPr>
                    <a:xfrm>
                      <a:off x="0" y="0"/>
                      <a:ext cx="5606934" cy="328352"/>
                    </a:xfrm>
                    <a:prstGeom prst="rect"/>
                  </pic:spPr>
                </pic:pic>
              </a:graphicData>
            </a:graphic>
          </wp:inline>
        </w:drawing>
      </w:r>
    </w:p>
    <w:p>
      <w:pPr>
        <w:jc w:val="center"/>
      </w:pPr>
      <w:r>
        <w:drawing>
          <wp:inline xmlns:a="http://schemas.openxmlformats.org/drawingml/2006/main" xmlns:pic="http://schemas.openxmlformats.org/drawingml/2006/picture">
            <wp:extent cx="3624349" cy="490450"/>
            <wp:docPr id="22" name="Picture 22"/>
            <wp:cNvGraphicFramePr>
              <a:graphicFrameLocks noChangeAspect="1"/>
            </wp:cNvGraphicFramePr>
            <a:graphic>
              <a:graphicData uri="http://schemas.openxmlformats.org/drawingml/2006/picture">
                <pic:pic>
                  <pic:nvPicPr>
                    <pic:cNvPr id="0" name="eq22.png"/>
                    <pic:cNvPicPr/>
                  </pic:nvPicPr>
                  <pic:blipFill>
                    <a:blip r:embed="rId31"/>
                    <a:stretch>
                      <a:fillRect/>
                    </a:stretch>
                  </pic:blipFill>
                  <pic:spPr>
                    <a:xfrm>
                      <a:off x="0" y="0"/>
                      <a:ext cx="3624349" cy="490450"/>
                    </a:xfrm>
                    <a:prstGeom prst="rect"/>
                  </pic:spPr>
                </pic:pic>
              </a:graphicData>
            </a:graphic>
          </wp:inline>
        </w:drawing>
      </w:r>
    </w:p>
    <w:p>
      <w:r>
        <w:t>La solución positiva es única: al aumentar i, aumenta el saldo de los depósitos anteriores al último. La tasa anual efectiva equivalente incorpora dos semestres:</w:t>
      </w:r>
    </w:p>
    <w:p>
      <w:pPr>
        <w:jc w:val="center"/>
      </w:pPr>
      <w:r>
        <w:drawing>
          <wp:inline xmlns:a="http://schemas.openxmlformats.org/drawingml/2006/main" xmlns:pic="http://schemas.openxmlformats.org/drawingml/2006/picture">
            <wp:extent cx="6126480" cy="355447"/>
            <wp:docPr id="23" name="Picture 23"/>
            <wp:cNvGraphicFramePr>
              <a:graphicFrameLocks noChangeAspect="1"/>
            </wp:cNvGraphicFramePr>
            <a:graphic>
              <a:graphicData uri="http://schemas.openxmlformats.org/drawingml/2006/picture">
                <pic:pic>
                  <pic:nvPicPr>
                    <pic:cNvPr id="0" name="eq23.png"/>
                    <pic:cNvPicPr/>
                  </pic:nvPicPr>
                  <pic:blipFill>
                    <a:blip r:embed="rId32"/>
                    <a:stretch>
                      <a:fillRect/>
                    </a:stretch>
                  </pic:blipFill>
                  <pic:spPr>
                    <a:xfrm>
                      <a:off x="0" y="0"/>
                      <a:ext cx="6126480" cy="355447"/>
                    </a:xfrm>
                    <a:prstGeom prst="rect"/>
                  </pic:spPr>
                </pic:pic>
              </a:graphicData>
            </a:graphic>
          </wp:inline>
        </w:drawing>
      </w:r>
    </w:p>
    <w:p>
      <w:r>
        <w:t>Juan aportó 10 × 1398 = $13,980. La diferencia nominal acumulada por intereses es 23456 − 13980 = $9,476. Esa cantidad monetaria no es una tasa. Dividirla entre lo aportado no recupera i, porque los depósitos permanecieron invertidos durante tiempos diferentes.</w:t>
      </w:r>
    </w:p>
    <w:p>
      <w:r>
        <w:br w:type="page"/>
      </w:r>
    </w:p>
    <w:p>
      <w:pPr>
        <w:pStyle w:val="Heading1"/>
      </w:pPr>
      <w:r>
        <w:t>Retirar cada semana conservando el capital</w:t>
      </w:r>
    </w:p>
    <w:p>
      <w:r>
        <w:t>Usted tiene $100,000 invertidos y el banco ofrece una tasa efectiva del 4 % semanal. ¿Cuánto podría retirar al final de cada semana, sin consumir el capital y sin establecer una última semana de retiro?</w:t>
      </w:r>
    </w:p>
    <w:p>
      <w:pPr>
        <w:jc w:val="center"/>
      </w:pPr>
      <w:r>
        <w:drawing>
          <wp:inline xmlns:a="http://schemas.openxmlformats.org/drawingml/2006/main" xmlns:pic="http://schemas.openxmlformats.org/drawingml/2006/picture">
            <wp:extent cx="4443152" cy="344978"/>
            <wp:docPr id="24" name="Picture 24"/>
            <wp:cNvGraphicFramePr>
              <a:graphicFrameLocks noChangeAspect="1"/>
            </wp:cNvGraphicFramePr>
            <a:graphic>
              <a:graphicData uri="http://schemas.openxmlformats.org/drawingml/2006/picture">
                <pic:pic>
                  <pic:nvPicPr>
                    <pic:cNvPr id="0" name="eq24.png"/>
                    <pic:cNvPicPr/>
                  </pic:nvPicPr>
                  <pic:blipFill>
                    <a:blip r:embed="rId33"/>
                    <a:stretch>
                      <a:fillRect/>
                    </a:stretch>
                  </pic:blipFill>
                  <pic:spPr>
                    <a:xfrm>
                      <a:off x="0" y="0"/>
                      <a:ext cx="4443152" cy="344978"/>
                    </a:xfrm>
                    <a:prstGeom prst="rect"/>
                  </pic:spPr>
                </pic:pic>
              </a:graphicData>
            </a:graphic>
          </wp:inline>
        </w:drawing>
      </w:r>
    </w:p>
    <w:p>
      <w:r>
        <w:t>Al terminar la primera semana se generan 100000 × 0.04 = $4,000 de intereses. El saldo antes del retiro es $104,000. Si retira $4,000, quedan nuevamente $100,000 para la siguiente semana.</w:t>
      </w:r>
    </w:p>
    <w:tbl>
      <w:tblPr>
        <w:tblW w:type="auto" w:w="0"/>
        <w:tblLayout w:type="fixed"/>
        <w:tblLook w:firstColumn="1" w:firstRow="1" w:lastColumn="0" w:lastRow="0" w:noHBand="0" w:noVBand="1" w:val="04A0"/>
      </w:tblPr>
      <w:tblGrid>
        <w:gridCol w:w="1987"/>
        <w:gridCol w:w="1987"/>
        <w:gridCol w:w="1987"/>
        <w:gridCol w:w="1987"/>
        <w:gridCol w:w="1987"/>
      </w:tblGrid>
      <w:tr>
        <w:tc>
          <w:tcPr>
            <w:tcW w:type="dxa" w:w="1008"/>
            <w:tcBorders>
              <w:top w:val="single" w:sz="4" w:color="D9D9D9"/>
              <w:left w:val="single" w:sz="4" w:color="D9D9D9"/>
              <w:bottom w:val="single" w:sz="4" w:color="D9D9D9"/>
              <w:right w:val="single" w:sz="4" w:color="D9D9D9"/>
            </w:tcBorders>
            <w:shd w:fill="DCE6EF"/>
          </w:tcPr>
          <w:p>
            <w:pPr>
              <w:spacing w:before="100" w:after="100"/>
            </w:pPr>
            <w:r>
              <w:rPr>
                <w:b/>
                <w:sz w:val="21"/>
              </w:rPr>
              <w:t>Semana</w:t>
            </w:r>
          </w:p>
        </w:tc>
        <w:tc>
          <w:tcPr>
            <w:tcW w:type="dxa" w:w="2160"/>
            <w:tcBorders>
              <w:top w:val="single" w:sz="4" w:color="D9D9D9"/>
              <w:left w:val="single" w:sz="4" w:color="D9D9D9"/>
              <w:bottom w:val="single" w:sz="4" w:color="D9D9D9"/>
              <w:right w:val="single" w:sz="4" w:color="D9D9D9"/>
            </w:tcBorders>
            <w:shd w:fill="DCE6EF"/>
          </w:tcPr>
          <w:p>
            <w:pPr>
              <w:spacing w:before="100" w:after="100"/>
            </w:pPr>
            <w:r>
              <w:rPr>
                <w:b/>
                <w:sz w:val="21"/>
              </w:rPr>
              <w:t>Capital inicial</w:t>
            </w:r>
          </w:p>
        </w:tc>
        <w:tc>
          <w:tcPr>
            <w:tcW w:type="dxa" w:w="1728"/>
            <w:tcBorders>
              <w:top w:val="single" w:sz="4" w:color="D9D9D9"/>
              <w:left w:val="single" w:sz="4" w:color="D9D9D9"/>
              <w:bottom w:val="single" w:sz="4" w:color="D9D9D9"/>
              <w:right w:val="single" w:sz="4" w:color="D9D9D9"/>
            </w:tcBorders>
            <w:shd w:fill="DCE6EF"/>
          </w:tcPr>
          <w:p>
            <w:pPr>
              <w:spacing w:before="100" w:after="100"/>
            </w:pPr>
            <w:r>
              <w:rPr>
                <w:b/>
                <w:sz w:val="21"/>
              </w:rPr>
              <w:t>Interés</w:t>
            </w:r>
          </w:p>
        </w:tc>
        <w:tc>
          <w:tcPr>
            <w:tcW w:type="dxa" w:w="2016"/>
            <w:tcBorders>
              <w:top w:val="single" w:sz="4" w:color="D9D9D9"/>
              <w:left w:val="single" w:sz="4" w:color="D9D9D9"/>
              <w:bottom w:val="single" w:sz="4" w:color="D9D9D9"/>
              <w:right w:val="single" w:sz="4" w:color="D9D9D9"/>
            </w:tcBorders>
            <w:shd w:fill="DCE6EF"/>
          </w:tcPr>
          <w:p>
            <w:pPr>
              <w:spacing w:before="100" w:after="100"/>
            </w:pPr>
            <w:r>
              <w:rPr>
                <w:b/>
                <w:sz w:val="21"/>
              </w:rPr>
              <w:t>Retiro final</w:t>
            </w:r>
          </w:p>
        </w:tc>
        <w:tc>
          <w:tcPr>
            <w:tcW w:type="dxa" w:w="2880"/>
            <w:tcBorders>
              <w:top w:val="single" w:sz="4" w:color="D9D9D9"/>
              <w:left w:val="single" w:sz="4" w:color="D9D9D9"/>
              <w:bottom w:val="single" w:sz="4" w:color="D9D9D9"/>
              <w:right w:val="single" w:sz="4" w:color="D9D9D9"/>
            </w:tcBorders>
            <w:shd w:fill="DCE6EF"/>
          </w:tcPr>
          <w:p>
            <w:pPr>
              <w:spacing w:before="100" w:after="100"/>
            </w:pPr>
            <w:r>
              <w:rPr>
                <w:b/>
                <w:sz w:val="21"/>
              </w:rPr>
              <w:t>Capital restante</w:t>
            </w:r>
          </w:p>
        </w:tc>
      </w:tr>
      <w:tr>
        <w:tc>
          <w:tcPr>
            <w:tcW w:type="dxa" w:w="1008"/>
            <w:tcBorders>
              <w:top w:val="single" w:sz="4" w:color="D9D9D9"/>
              <w:left w:val="single" w:sz="4" w:color="D9D9D9"/>
              <w:bottom w:val="single" w:sz="4" w:color="D9D9D9"/>
              <w:right w:val="single" w:sz="4" w:color="D9D9D9"/>
            </w:tcBorders>
          </w:tcPr>
          <w:p>
            <w:pPr>
              <w:spacing w:before="100" w:after="100"/>
            </w:pPr>
            <w:r>
              <w:rPr>
                <w:b w:val="0"/>
                <w:sz w:val="21"/>
              </w:rPr>
              <w:t>1</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1"/>
              </w:rPr>
              <w:t>$100,000</w:t>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1"/>
              </w:rPr>
              <w:t>$4,000</w:t>
            </w:r>
          </w:p>
        </w:tc>
        <w:tc>
          <w:tcPr>
            <w:tcW w:type="dxa" w:w="2016"/>
            <w:tcBorders>
              <w:top w:val="single" w:sz="4" w:color="D9D9D9"/>
              <w:left w:val="single" w:sz="4" w:color="D9D9D9"/>
              <w:bottom w:val="single" w:sz="4" w:color="D9D9D9"/>
              <w:right w:val="single" w:sz="4" w:color="D9D9D9"/>
            </w:tcBorders>
          </w:tcPr>
          <w:p>
            <w:pPr>
              <w:spacing w:before="100" w:after="100"/>
            </w:pPr>
            <w:r>
              <w:rPr>
                <w:b w:val="0"/>
                <w:sz w:val="21"/>
              </w:rPr>
              <w:t>$4,000</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1"/>
              </w:rPr>
              <w:t>$100,000</w:t>
            </w:r>
          </w:p>
        </w:tc>
      </w:tr>
      <w:tr>
        <w:tc>
          <w:tcPr>
            <w:tcW w:type="dxa" w:w="1008"/>
            <w:tcBorders>
              <w:top w:val="single" w:sz="4" w:color="D9D9D9"/>
              <w:left w:val="single" w:sz="4" w:color="D9D9D9"/>
              <w:bottom w:val="single" w:sz="4" w:color="D9D9D9"/>
              <w:right w:val="single" w:sz="4" w:color="D9D9D9"/>
            </w:tcBorders>
          </w:tcPr>
          <w:p>
            <w:pPr>
              <w:spacing w:before="100" w:after="100"/>
            </w:pPr>
            <w:r>
              <w:rPr>
                <w:b w:val="0"/>
                <w:sz w:val="21"/>
              </w:rPr>
              <w:t>2</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1"/>
              </w:rPr>
              <w:t>$100,000</w:t>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1"/>
              </w:rPr>
              <w:t>$4,000</w:t>
            </w:r>
          </w:p>
        </w:tc>
        <w:tc>
          <w:tcPr>
            <w:tcW w:type="dxa" w:w="2016"/>
            <w:tcBorders>
              <w:top w:val="single" w:sz="4" w:color="D9D9D9"/>
              <w:left w:val="single" w:sz="4" w:color="D9D9D9"/>
              <w:bottom w:val="single" w:sz="4" w:color="D9D9D9"/>
              <w:right w:val="single" w:sz="4" w:color="D9D9D9"/>
            </w:tcBorders>
          </w:tcPr>
          <w:p>
            <w:pPr>
              <w:spacing w:before="100" w:after="100"/>
            </w:pPr>
            <w:r>
              <w:rPr>
                <w:b w:val="0"/>
                <w:sz w:val="21"/>
              </w:rPr>
              <w:t>$4,000</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1"/>
              </w:rPr>
              <w:t>$100,000</w:t>
            </w:r>
          </w:p>
        </w:tc>
      </w:tr>
      <w:tr>
        <w:tc>
          <w:tcPr>
            <w:tcW w:type="dxa" w:w="1008"/>
            <w:tcBorders>
              <w:top w:val="single" w:sz="4" w:color="D9D9D9"/>
              <w:left w:val="single" w:sz="4" w:color="D9D9D9"/>
              <w:bottom w:val="single" w:sz="4" w:color="D9D9D9"/>
              <w:right w:val="single" w:sz="4" w:color="D9D9D9"/>
            </w:tcBorders>
          </w:tcPr>
          <w:p>
            <w:pPr>
              <w:spacing w:before="100" w:after="100"/>
            </w:pPr>
            <w:r>
              <w:rPr>
                <w:b w:val="0"/>
                <w:sz w:val="21"/>
              </w:rPr>
              <w:t>3</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1"/>
              </w:rPr>
              <w:t>$100,000</w:t>
            </w:r>
          </w:p>
        </w:tc>
        <w:tc>
          <w:tcPr>
            <w:tcW w:type="dxa" w:w="1728"/>
            <w:tcBorders>
              <w:top w:val="single" w:sz="4" w:color="D9D9D9"/>
              <w:left w:val="single" w:sz="4" w:color="D9D9D9"/>
              <w:bottom w:val="single" w:sz="4" w:color="D9D9D9"/>
              <w:right w:val="single" w:sz="4" w:color="D9D9D9"/>
            </w:tcBorders>
          </w:tcPr>
          <w:p>
            <w:pPr>
              <w:spacing w:before="100" w:after="100"/>
            </w:pPr>
            <w:r>
              <w:rPr>
                <w:b w:val="0"/>
                <w:sz w:val="21"/>
              </w:rPr>
              <w:t>$4,000</w:t>
            </w:r>
          </w:p>
        </w:tc>
        <w:tc>
          <w:tcPr>
            <w:tcW w:type="dxa" w:w="2016"/>
            <w:tcBorders>
              <w:top w:val="single" w:sz="4" w:color="D9D9D9"/>
              <w:left w:val="single" w:sz="4" w:color="D9D9D9"/>
              <w:bottom w:val="single" w:sz="4" w:color="D9D9D9"/>
              <w:right w:val="single" w:sz="4" w:color="D9D9D9"/>
            </w:tcBorders>
          </w:tcPr>
          <w:p>
            <w:pPr>
              <w:spacing w:before="100" w:after="100"/>
            </w:pPr>
            <w:r>
              <w:rPr>
                <w:b w:val="0"/>
                <w:sz w:val="21"/>
              </w:rPr>
              <w:t>$4,000</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1"/>
              </w:rPr>
              <w:t>$100,000</w:t>
            </w:r>
          </w:p>
        </w:tc>
      </w:tr>
    </w:tbl>
    <w:p/>
    <w:p>
      <w:r>
        <w:t>La misma operación se repite porque cada retiro consume solo el interés del periodo. Por tanto, el retiro uniforme semanal es:</w:t>
      </w:r>
    </w:p>
    <w:p>
      <w:pPr>
        <w:jc w:val="center"/>
      </w:pPr>
      <w:r>
        <w:drawing>
          <wp:inline xmlns:a="http://schemas.openxmlformats.org/drawingml/2006/main" xmlns:pic="http://schemas.openxmlformats.org/drawingml/2006/picture">
            <wp:extent cx="3620192" cy="328352"/>
            <wp:docPr id="25" name="Picture 25"/>
            <wp:cNvGraphicFramePr>
              <a:graphicFrameLocks noChangeAspect="1"/>
            </wp:cNvGraphicFramePr>
            <a:graphic>
              <a:graphicData uri="http://schemas.openxmlformats.org/drawingml/2006/picture">
                <pic:pic>
                  <pic:nvPicPr>
                    <pic:cNvPr id="0" name="eq25.png"/>
                    <pic:cNvPicPr/>
                  </pic:nvPicPr>
                  <pic:blipFill>
                    <a:blip r:embed="rId34"/>
                    <a:stretch>
                      <a:fillRect/>
                    </a:stretch>
                  </pic:blipFill>
                  <pic:spPr>
                    <a:xfrm>
                      <a:off x="0" y="0"/>
                      <a:ext cx="3620192" cy="328352"/>
                    </a:xfrm>
                    <a:prstGeom prst="rect"/>
                  </pic:spPr>
                </pic:pic>
              </a:graphicData>
            </a:graphic>
          </wp:inline>
        </w:drawing>
      </w:r>
    </w:p>
    <w:p>
      <w:pPr>
        <w:pStyle w:val="Heading1"/>
      </w:pPr>
      <w:r>
        <w:t>De una serie finita a una perpetuidad</w:t>
      </w:r>
    </w:p>
    <w:p>
      <w:r>
        <w:t>Una perpetuidad vencida tiene pagos uniformes al final de cada periodo y no tiene una fecha de terminación. Partimos del valor presente de n pagos:</w:t>
      </w:r>
    </w:p>
    <w:p>
      <w:pPr>
        <w:jc w:val="center"/>
      </w:pPr>
      <w:r>
        <w:drawing>
          <wp:inline xmlns:a="http://schemas.openxmlformats.org/drawingml/2006/main" xmlns:pic="http://schemas.openxmlformats.org/drawingml/2006/picture">
            <wp:extent cx="1691640" cy="469669"/>
            <wp:docPr id="26" name="Picture 26"/>
            <wp:cNvGraphicFramePr>
              <a:graphicFrameLocks noChangeAspect="1"/>
            </wp:cNvGraphicFramePr>
            <a:graphic>
              <a:graphicData uri="http://schemas.openxmlformats.org/drawingml/2006/picture">
                <pic:pic>
                  <pic:nvPicPr>
                    <pic:cNvPr id="0" name="eq26.png"/>
                    <pic:cNvPicPr/>
                  </pic:nvPicPr>
                  <pic:blipFill>
                    <a:blip r:embed="rId35"/>
                    <a:stretch>
                      <a:fillRect/>
                    </a:stretch>
                  </pic:blipFill>
                  <pic:spPr>
                    <a:xfrm>
                      <a:off x="0" y="0"/>
                      <a:ext cx="1691640" cy="469669"/>
                    </a:xfrm>
                    <a:prstGeom prst="rect"/>
                  </pic:spPr>
                </pic:pic>
              </a:graphicData>
            </a:graphic>
          </wp:inline>
        </w:drawing>
      </w:r>
    </w:p>
    <w:p>
      <w:r>
        <w:t>Con i &gt; 0, al hacer crecer n sin límite, el término (1 + i) elevado a −n tiende a cero. El límite de la expresión es:</w:t>
      </w:r>
    </w:p>
    <w:p>
      <w:pPr>
        <w:jc w:val="center"/>
      </w:pPr>
      <w:r>
        <w:drawing>
          <wp:inline xmlns:a="http://schemas.openxmlformats.org/drawingml/2006/main" xmlns:pic="http://schemas.openxmlformats.org/drawingml/2006/picture">
            <wp:extent cx="2734887" cy="436418"/>
            <wp:docPr id="27" name="Picture 27"/>
            <wp:cNvGraphicFramePr>
              <a:graphicFrameLocks noChangeAspect="1"/>
            </wp:cNvGraphicFramePr>
            <a:graphic>
              <a:graphicData uri="http://schemas.openxmlformats.org/drawingml/2006/picture">
                <pic:pic>
                  <pic:nvPicPr>
                    <pic:cNvPr id="0" name="eq27.png"/>
                    <pic:cNvPicPr/>
                  </pic:nvPicPr>
                  <pic:blipFill>
                    <a:blip r:embed="rId36"/>
                    <a:stretch>
                      <a:fillRect/>
                    </a:stretch>
                  </pic:blipFill>
                  <pic:spPr>
                    <a:xfrm>
                      <a:off x="0" y="0"/>
                      <a:ext cx="2734887" cy="436418"/>
                    </a:xfrm>
                    <a:prstGeom prst="rect"/>
                  </pic:spPr>
                </pic:pic>
              </a:graphicData>
            </a:graphic>
          </wp:inline>
        </w:drawing>
      </w:r>
    </w:p>
    <w:p>
      <w:r>
        <w:t>Así recuperamos los $4,000 semanales. El primer retiro ocurre al final de la semana 1. El resultado supone que la tasa se mantiene, que no hay comisiones ni impuestos y que los retiros son constantes. Se conserva el capital nominal de $100,000; conservar además su poder adquisitivo requeriría considerar la inflación.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Ingeniería económica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uniformes y perpetuidades</dc:title>
  <dc:subject>Ingeniería económica con nomenclatura P F A i 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