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El tatuaje como archivo narrativo:</w:t>
        <w:br/>
        <w:t>lectura situada de fuentes digitales mediante un sistema local</w:t>
      </w:r>
    </w:p>
    <w:p>
      <w:pPr>
        <w:pStyle w:val="Heading1"/>
      </w:pPr>
      <w:r>
        <w:t>Resumen</w:t>
      </w:r>
    </w:p>
    <w:p>
      <w:r>
        <w:t>El tatuaje puede leerse como archivo corporal, marca estética, memoria afectiva, oficio visual y objeto de disputa social. Este documento presenta un procedimiento local para construir un corpus narrativo trazable sin enviar textos a servicios externos. El ejemplo conductor es el tópico tatuaje, entendido como campo de sentidos: cuerpo, identidad, oficio, estética, salud, regulación, memoria y estigma. El sistema separa rubros, años y capas de fuente; depura textos; registra vacíos; organiza indicios narrativos; construye mapas de relaciones; y propone síntesis revisables para lectura cercana.</w:t>
      </w:r>
    </w:p>
    <w:p>
      <w:pPr>
        <w:pStyle w:val="Heading1"/>
      </w:pPr>
      <w:r>
        <w:t>Problema cultural y metodológico</w:t>
      </w:r>
    </w:p>
    <w:p>
      <w:r>
        <w:t>Una narrativa social no aparece en una sola clase de documento. Puede emerger en conversaciones cotidianas, circular por la prensa, traducirse a lenguaje institucional y estabilizarse después en estudios académicos. La pregunta no es qué dice Internet sobre el tatuaje, sino cómo distintas capas discursivas producen, desplazan o disputan sentidos alrededor del tatuaje en un periodo y región definidos.</w:t>
      </w:r>
    </w:p>
    <w:p>
      <w:pPr>
        <w:pStyle w:val="Heading1"/>
      </w:pPr>
      <w:r>
        <w:t>Fases del procedimiento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E6E6E6"/>
          </w:tcPr>
          <w:p>
            <w:r/>
            <w:r>
              <w:rPr>
                <w:b/>
                <w:sz w:val="19"/>
              </w:rPr>
              <w:t>Fase</w:t>
            </w:r>
          </w:p>
        </w:tc>
        <w:tc>
          <w:tcPr>
            <w:tcW w:type="dxa" w:w="3384"/>
            <w:vAlign w:val="center"/>
            <w:shd w:fill="E6E6E6"/>
          </w:tcPr>
          <w:p>
            <w:r/>
            <w:r>
              <w:rPr>
                <w:b/>
                <w:sz w:val="19"/>
              </w:rPr>
              <w:t>Qué se hace</w:t>
            </w:r>
          </w:p>
        </w:tc>
        <w:tc>
          <w:tcPr>
            <w:tcW w:type="dxa" w:w="3384"/>
            <w:vAlign w:val="center"/>
            <w:shd w:fill="E6E6E6"/>
          </w:tcPr>
          <w:p>
            <w:r/>
            <w:r>
              <w:rPr>
                <w:b/>
                <w:sz w:val="19"/>
              </w:rPr>
              <w:t>Por qué se hace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Observar el campo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Reconocer el tatuaje como inscripción corporal, práctica visual y relato social.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Sitúa el problema antes de convertirlo en búsqueda digital.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Delimitar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Definir región, periodo y rubros de sentido: identidad, oficio, salud, memoria, diseño.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Evita mezclar sentidos distintos bajo una misma palabra.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Reunir voces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Consultar por capas: prensa, foros, artículos y reportes.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Distingue conversación pública, prensa, investigación y documentos institucionales.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Cuidar el corpus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Eliminar duplicados, menús, publicidad, ruido y homónimos.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Impide que el ruido web se vuelva resultado interpretativo.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Interpretar relaciones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Observar expresiones, actores, momentos narrativos, fuentes y tonalidad léxica.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Produce indicios y mapas de sentido para lectura crítica.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Síntesis crítica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Proponer nodos relevantes y volver a ejemplos textuales.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9"/>
              </w:rPr>
              <w:t>Prepara lectura cercana sin presentar el algoritmo como interpretación final.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  <w:sz w:val="20"/>
              </w:rPr>
              <w:t>Figura 1. Itinerario interpretativo</w:t>
            </w:r>
            <w:r>
              <w:rPr>
                <w:sz w:val="19"/>
              </w:rPr>
              <w:br/>
              <w:t>Situar el campo → reunir voces → cuidar el corpus → leer relaciones. La revisión humana ajusta rubros, exclusiones e interpretación.</w:t>
            </w:r>
          </w:p>
        </w:tc>
      </w:tr>
    </w:tbl>
    <w:p/>
    <w:p>
      <w:pPr>
        <w:pStyle w:val="Heading1"/>
      </w:pPr>
      <w:r>
        <w:t>Ejemplo conductor: tatuaje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E6E6E6"/>
          </w:tcPr>
          <w:p>
            <w:r/>
            <w:r>
              <w:rPr>
                <w:b/>
                <w:sz w:val="19"/>
              </w:rPr>
              <w:t>Rubro</w:t>
            </w:r>
          </w:p>
        </w:tc>
        <w:tc>
          <w:tcPr>
            <w:tcW w:type="dxa" w:w="6480"/>
            <w:vAlign w:val="center"/>
            <w:shd w:fill="E6E6E6"/>
          </w:tcPr>
          <w:p>
            <w:r/>
            <w:r>
              <w:rPr>
                <w:b/>
                <w:sz w:val="19"/>
              </w:rPr>
              <w:t>Variantes de búsqueda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Núcleo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tatuaje, tatuajes, tattoo, tattoos, arte corporal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Oficio e industria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tatuador, tatuadora, estudio de tatuajes, artista del tatuaje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Identidad y memoria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significado de tatuaje, tatuaje e identidad, tatuaje y memoria, tatuaje religioso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Sociedad y trabajo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tatuaje y juventud, tatuaje y empleo, tatuaje y discriminación, tatuaje y género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Salud y regulación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tatuaje y salud, tintas para tatuaje, infección, regulación sanitaria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Estética y diseño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diseño de tatuaje, tatuaje tradicional, tatuaje mexicano, body art</w:t>
            </w:r>
          </w:p>
        </w:tc>
      </w:tr>
    </w:tbl>
    <w:p/>
    <w:p>
      <w:r>
        <w:t>Las exclusiones protegen la pregunta de investigación: cigar, tobacco, robusto o colonoscopic tattooing deben retirarse cuando el interés sea tatuaje corporal como práctica cultural.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  <w:sz w:val="20"/>
              </w:rPr>
              <w:t>Figura 2. Diseño de corpus</w:t>
            </w:r>
            <w:r>
              <w:rPr>
                <w:sz w:val="19"/>
              </w:rPr>
              <w:br/>
              <w:t>Pregunta cultural → rubros → años/región → capas de voz → cuidado del texto → lectura asistida.</w:t>
            </w:r>
          </w:p>
        </w:tc>
      </w:tr>
    </w:tbl>
    <w:p/>
    <w:p>
      <w:pPr>
        <w:pStyle w:val="Heading1"/>
      </w:pPr>
      <w:r>
        <w:t>Extracción responsable y evidencia parcial</w:t>
      </w:r>
    </w:p>
    <w:p>
      <w:r>
        <w:t>La corrida secuencial no busca todos los sinónimos a la vez. Primero consulta el término base del rubro y sólo expande a sinónimos si hace falta. Así se reduce saturación de índices y se conserva qué término produjo cada hallazgo.</w:t>
      </w:r>
    </w:p>
    <w:p>
      <w:r>
        <w:t>La extracción respeta límites de fuente. Antes de intentar texto completo se consulta robots.txt. Si una página no permite extracción, si es paywall o si sólo entrega título/resumen, el registro se conserva como ok_partial. Ese metadato sirve como señal trazable, pero no debe contarse como cuerpo textual completo.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shd w:fill="E6E6E6"/>
          </w:tcPr>
          <w:p>
            <w:r/>
            <w:r>
              <w:rPr>
                <w:b/>
                <w:sz w:val="19"/>
              </w:rPr>
              <w:t>Estado</w:t>
            </w:r>
          </w:p>
        </w:tc>
        <w:tc>
          <w:tcPr>
            <w:tcW w:type="dxa" w:w="3528"/>
            <w:vAlign w:val="center"/>
            <w:shd w:fill="E6E6E6"/>
          </w:tcPr>
          <w:p>
            <w:r/>
            <w:r>
              <w:rPr>
                <w:b/>
                <w:sz w:val="19"/>
              </w:rPr>
              <w:t>Qué significa</w:t>
            </w:r>
          </w:p>
        </w:tc>
        <w:tc>
          <w:tcPr>
            <w:tcW w:type="dxa" w:w="3600"/>
            <w:vAlign w:val="center"/>
            <w:shd w:fill="E6E6E6"/>
          </w:tcPr>
          <w:p>
            <w:r/>
            <w:r>
              <w:rPr>
                <w:b/>
                <w:sz w:val="19"/>
              </w:rPr>
              <w:t>Uso interpretativo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ok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9"/>
              </w:rPr>
              <w:t>Texto suficiente y permitido para análisis local.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Puede alimentar n-gramas, red narrativa y lectura cercana.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ok_partial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9"/>
              </w:rPr>
              <w:t>Título, resumen, RSS o metadato sin cuerpo completo.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Señal de presencia; no equivale a texto completo.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too_short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9"/>
              </w:rPr>
              <w:t>Texto demasiado breve o heredado.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Debe revisarse antes de usarlo en análisis textual.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error/fetch_error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9"/>
              </w:rPr>
              <w:t>No fue posible recuperar evidencia usable.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Cuenta como límite de cobertura.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  <w:sz w:val="20"/>
              </w:rPr>
              <w:t>Figura 3. Derechos de fuente y grados de evidencia</w:t>
            </w:r>
            <w:r>
              <w:rPr>
                <w:sz w:val="19"/>
              </w:rPr>
              <w:br/>
              <w:t>Índice público → URL/metadato → revisión de permiso → texto completo u ok_partial → análisis local. El sistema no evade paywalls, sesiones, CAPTCHAs ni espacios privados.</w:t>
            </w:r>
          </w:p>
        </w:tc>
      </w:tr>
    </w:tbl>
    <w:p/>
    <w:p>
      <w:pPr>
        <w:pStyle w:val="Heading1"/>
      </w:pPr>
      <w:r>
        <w:t>Red narrativa y tonalidad léxica</w:t>
      </w:r>
    </w:p>
    <w:p>
      <w:r>
        <w:t>La red narrativa se usa como mapa. Cada texto conecta actores, ideas, fuente, año, lugar y momentos del relato. La tonalidad léxica no se interpreta como emoción colectiva: funciona como indicador exploratorio de vocabulario valorativo y siempre debe volver a ejemplos textuales.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  <w:sz w:val="20"/>
              </w:rPr>
              <w:t>Figura 4. Red narrativa mínima</w:t>
            </w:r>
            <w:r>
              <w:rPr>
                <w:sz w:val="19"/>
              </w:rPr>
              <w:br/>
              <w:t>Texto conectado con actor, momento del relato, idea, fuente, año y lugar. Las aristas indican relaciones como menciona, publica, contiene, usa o sitúa.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b/>
                <w:sz w:val="20"/>
              </w:rPr>
              <w:t>Figura 5. Síntesis revisable</w:t>
            </w:r>
            <w:r>
              <w:rPr>
                <w:sz w:val="19"/>
              </w:rPr>
              <w:br/>
              <w:t>Corpus depurado → mapa de relaciones → nodos relevantes → lectura cercana. El algoritmo sugiere entradas; la interpretación vuelve al corpus.</w:t>
            </w:r>
          </w:p>
        </w:tc>
      </w:tr>
    </w:tbl>
    <w:p/>
    <w:p>
      <w:pPr>
        <w:pStyle w:val="Heading1"/>
      </w:pPr>
      <w:r>
        <w:t>Salida reproducible</w:t>
      </w:r>
    </w:p>
    <w:p>
      <w:r>
        <w:t>La aplicación local exporta evidencia estructurada con registros filtrados, procedencia, limpieza, clasificación de fuente, tonalidad léxica, eventos narrativos, actores, grupos de ideas y mapas de relaciones. Para una publicación robusta falta consolidar un manifiesto de corrida con fecha, parámetros, versión del código, cuotas, semillas y huella del corpus final.</w:t>
      </w:r>
    </w:p>
    <w:p>
      <w:pPr>
        <w:pStyle w:val="Heading1"/>
      </w:pPr>
      <w:r>
        <w:t>Límites y sesgos</w:t>
      </w:r>
    </w:p>
    <w:p>
      <w:r>
        <w:t>El corpus no representa por sí mismo a una sociedad: representa una colección situada de huellas disponibles. Puede haber sesgo de idioma, clase social, alfabetización digital, centralidad urbana, disponibilidad de fuentes, moderación de plataformas, agenda periodística y sobrerrepresentación sanitaria o institucional. Los foros, Reddit público, blogs y comunidades abiertas son señales de conversación pública indexable; no equivalen a toda la conversación social. Las exclusiones también son decisiones interpretativas; por eso deben registrarse y justificarse.</w:t>
      </w:r>
    </w:p>
    <w:p>
      <w:pPr>
        <w:pStyle w:val="Heading1"/>
      </w:pPr>
      <w:r>
        <w:t>Nota técnica mínima</w:t>
      </w:r>
    </w:p>
    <w:p>
      <w:r>
        <w:t>La selección de nodos relevantes puede formalizarse como cobertura sobre el mapa de relaciones. Se buscan conjuntos pequeños de nodos que mantengan alta relevancia y bajo daño estructural. Los detalles algorítmicos quedan como apéndice porque la pregunta principal es interpretativa.</w:t>
      </w:r>
    </w:p>
    <w:p>
      <w:r>
        <w:br w:type="page"/>
      </w:r>
    </w:p>
    <w:p>
      <w:pPr>
        <w:pStyle w:val="Heading1"/>
      </w:pPr>
      <w:r>
        <w:t>Evidencia disponible y requisitos de análisis — 6 de octubre de 2026</w:t>
      </w:r>
    </w:p>
    <w:p>
      <w:r>
        <w:t>Autoría, fechas y fuente se buscan, pero no se garantiza recuperarlas. Cada campo conserva valor, evidencia, método y estado: explícito, inferido, buscado y no encontrado, no evaluable, no aplica o contradictorio.</w:t>
      </w:r>
    </w:p>
    <w:p>
      <w:r>
        <w:t>Publicación, actualización y consulta son fechas distintas. No se completan componentes ni se usa el año de búsqueda como publicación. Un enlace PDF no acredita texto completo recuperado.</w:t>
      </w:r>
    </w:p>
    <w:p>
      <w:r>
        <w:t>Un documento sin autor o fecha sigue disponible para los análisis cuyos requisitos cumpla. Se reportan utilizables/total, exclusiones y cobertura por tipo de fuente. La cobertura no es representatividad.</w:t>
      </w:r>
    </w:p>
    <w:p>
      <w:r>
        <w:t>La matriz documento–concepto distingue presencia revisada (1), ausencia explícitamente revisada (0) y dato desconocido (faltante). Las proporciones por fuente usan denominadores revisados para cada concepto. Apoyo, rechazo y ambivalencia permanecen separados.</w:t>
      </w:r>
    </w:p>
    <w:p>
      <w:r>
        <w:t>Afirmaciones y relaciones requieren interpretación revisada y cita literal. La causalidad atribuida no es un efecto causal demostrado. Los conteos temporales usan la intersección revisada y fechada. Los módulos heurísticos anteriores generan candidatos, no conclusiones sociales validadas.</w:t>
      </w:r>
    </w:p>
    <w:p>
      <w:r>
        <w:t>Pseudocódigo: recuperar procedencia y texto; buscar metadatos; conservar estados y conflictos; comprobar requisitos por análisis; validar citas; construir matrices descriptivas; exportar cobertura y limitaciones. El procedimiento ejecutable está en EVIDENCIA_Y_MODELOS.md.</w:t>
      </w:r>
    </w:p>
    <w:p>
      <w:r>
        <w:t>Identidad y fusión de evidencia usan el mismo contrato de corpus en interfaz y comandos. Títulos similares y falta de detección léxica no acreditan identidad documental ni silencio intencional. El informe de auditoría integral documenta los límites del piloto.</w:t>
      </w:r>
    </w:p>
    <w:p>
      <w:r>
        <w:t>El contrato v2 separa documentos, versiones y recuperaciones; incorpora etapas reanudables, reintentos limitados, caché y almacenamiento transaccional. El procesamiento de corpus guardados no simula nuevas descargas ni revisión humana. La especificación y pseudocódigo están en ARQUITECTURA_REGISTROS_V2.md.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