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Modelo local de red narrativa ponderada y cubridor nodal</w:t>
      </w:r>
    </w:p>
    <w:p>
      <w:pPr>
        <w:spacing w:after="240"/>
        <w:jc w:val="center"/>
      </w:pPr>
      <w:r>
        <w:rPr>
          <w:i/>
          <w:sz w:val="21"/>
        </w:rPr>
        <w:t>Sistema local para extracción, limpieza, validación humana, red compleja y selector nodal multiobjetivo inspirado en SCP</w:t>
      </w:r>
    </w:p>
    <w:p>
      <w:pPr>
        <w:pStyle w:val="Heading1"/>
      </w:pPr>
      <w:r>
        <w:t>1. Objeto y alcance</w:t>
      </w:r>
    </w:p>
    <w:p>
      <w:r>
        <w:t>El sistema analiza narrativas en corpus documentales sin enviar textos a modelos externos. Extrae documentos, limpia y normaliza texto, clasifica fuentes, identifica etapas narrativas, permite validación humana de actores y construye una red compleja ponderada para resolver un cubridor nodal narrativo.</w:t>
      </w:r>
    </w:p>
    <w:p>
      <w:r>
        <w:t>La salida no debe interpretarse como la totalidad de una narrativa pública, sino como una muestra auditable y reproducible condicionada por consulta, años, región, fuentes activas, exclusiones y errores de descarga.</w:t>
      </w:r>
    </w:p>
    <w:p>
      <w:pPr>
        <w:pStyle w:val="Heading1"/>
      </w:pPr>
      <w:r>
        <w:t>2. Extracción responsable y estados de evidencia</w:t>
      </w:r>
    </w:p>
    <w:p>
      <w:r>
        <w:t>El sistema consulta índices públicos, RSS públicos, páginas abiertas y URLs semilla. No automatiza sesiones, no evade CAPTCHAs, no salta paywalls y no extrae espacios privados o cerrados. Antes de intentar HTML completo se consulta robots.txt; si no hay permiso o el acceso es parcial, se conserva sólo metadato trazable.</w:t>
      </w:r>
    </w:p>
    <w:tbl>
      <w:tblPr>
        <w:tblStyle w:val="TableGrid"/>
        <w:tblW w:type="dxa" w:w="9360"/>
        <w:tblLook w:firstColumn="1" w:firstRow="1" w:lastColumn="0" w:lastRow="0" w:noHBand="0" w:noVBand="1" w:val="04A0"/>
        <w:tblLayout w:type="fixed"/>
      </w:tblPr>
      <w:tblGrid>
        <w:gridCol w:w="3120"/>
        <w:gridCol w:w="3120"/>
        <w:gridCol w:w="3120"/>
      </w:tblGrid>
      <w:tr>
        <w:tc>
          <w:tcPr>
            <w:tcW w:type="dxa" w:w="1584"/>
            <w:shd w:fill="F2F4F7"/>
            <w:tcMar>
              <w:top w:w="80" w:type="dxa"/>
              <w:start w:w="120" w:type="dxa"/>
              <w:bottom w:w="80" w:type="dxa"/>
              <w:end w:w="120" w:type="dxa"/>
            </w:tcMar>
            <w:vAlign w:val="center"/>
          </w:tcPr>
          <w:p>
            <w:r>
              <w:rPr>
                <w:b/>
                <w:sz w:val="19"/>
              </w:rPr>
              <w:t>Estado</w:t>
            </w:r>
          </w:p>
        </w:tc>
        <w:tc>
          <w:tcPr>
            <w:tcW w:type="dxa" w:w="3960"/>
            <w:shd w:fill="F2F4F7"/>
            <w:tcMar>
              <w:top w:w="80" w:type="dxa"/>
              <w:start w:w="120" w:type="dxa"/>
              <w:bottom w:w="80" w:type="dxa"/>
              <w:end w:w="120" w:type="dxa"/>
            </w:tcMar>
            <w:vAlign w:val="center"/>
          </w:tcPr>
          <w:p>
            <w:r>
              <w:rPr>
                <w:b/>
                <w:sz w:val="19"/>
              </w:rPr>
              <w:t>Definición operativa</w:t>
            </w:r>
          </w:p>
        </w:tc>
        <w:tc>
          <w:tcPr>
            <w:tcW w:type="dxa" w:w="3816"/>
            <w:shd w:fill="F2F4F7"/>
            <w:tcMar>
              <w:top w:w="80" w:type="dxa"/>
              <w:start w:w="120" w:type="dxa"/>
              <w:bottom w:w="80" w:type="dxa"/>
              <w:end w:w="120" w:type="dxa"/>
            </w:tcMar>
            <w:vAlign w:val="center"/>
          </w:tcPr>
          <w:p>
            <w:r>
              <w:rPr>
                <w:b/>
                <w:sz w:val="19"/>
              </w:rPr>
              <w:t>Uso en análisis</w:t>
            </w:r>
          </w:p>
        </w:tc>
      </w:tr>
      <w:tr>
        <w:tc>
          <w:tcPr>
            <w:tcW w:type="dxa" w:w="1584"/>
            <w:tcMar>
              <w:top w:w="80" w:type="dxa"/>
              <w:start w:w="120" w:type="dxa"/>
              <w:bottom w:w="80" w:type="dxa"/>
              <w:end w:w="120" w:type="dxa"/>
            </w:tcMar>
            <w:vAlign w:val="center"/>
          </w:tcPr>
          <w:p>
            <w:pPr>
              <w:spacing w:after="40"/>
            </w:pPr>
            <w:r>
              <w:rPr>
                <w:sz w:val="18"/>
              </w:rPr>
              <w:t>ok</w:t>
            </w:r>
          </w:p>
        </w:tc>
        <w:tc>
          <w:tcPr>
            <w:tcW w:type="dxa" w:w="3960"/>
            <w:tcMar>
              <w:top w:w="80" w:type="dxa"/>
              <w:start w:w="120" w:type="dxa"/>
              <w:bottom w:w="80" w:type="dxa"/>
              <w:end w:w="120" w:type="dxa"/>
            </w:tcMar>
            <w:vAlign w:val="center"/>
          </w:tcPr>
          <w:p>
            <w:pPr>
              <w:spacing w:after="40"/>
            </w:pPr>
            <w:r>
              <w:rPr>
                <w:sz w:val="18"/>
              </w:rPr>
              <w:t>Texto suficiente y permitido para análisis local.</w:t>
            </w:r>
          </w:p>
        </w:tc>
        <w:tc>
          <w:tcPr>
            <w:tcW w:type="dxa" w:w="3816"/>
            <w:tcMar>
              <w:top w:w="80" w:type="dxa"/>
              <w:start w:w="120" w:type="dxa"/>
              <w:bottom w:w="80" w:type="dxa"/>
              <w:end w:w="120" w:type="dxa"/>
            </w:tcMar>
            <w:vAlign w:val="center"/>
          </w:tcPr>
          <w:p>
            <w:pPr>
              <w:spacing w:after="40"/>
            </w:pPr>
            <w:r>
              <w:rPr>
                <w:sz w:val="18"/>
              </w:rPr>
              <w:t>Puede alimentar redes, n-gramas y lectura cercana.</w:t>
            </w:r>
          </w:p>
        </w:tc>
      </w:tr>
      <w:tr>
        <w:tc>
          <w:tcPr>
            <w:tcW w:type="dxa" w:w="1584"/>
            <w:tcMar>
              <w:top w:w="80" w:type="dxa"/>
              <w:start w:w="120" w:type="dxa"/>
              <w:bottom w:w="80" w:type="dxa"/>
              <w:end w:w="120" w:type="dxa"/>
            </w:tcMar>
            <w:vAlign w:val="center"/>
          </w:tcPr>
          <w:p>
            <w:pPr>
              <w:spacing w:after="40"/>
            </w:pPr>
            <w:r>
              <w:rPr>
                <w:sz w:val="18"/>
              </w:rPr>
              <w:t>ok_partial</w:t>
            </w:r>
          </w:p>
        </w:tc>
        <w:tc>
          <w:tcPr>
            <w:tcW w:type="dxa" w:w="3960"/>
            <w:tcMar>
              <w:top w:w="80" w:type="dxa"/>
              <w:start w:w="120" w:type="dxa"/>
              <w:bottom w:w="80" w:type="dxa"/>
              <w:end w:w="120" w:type="dxa"/>
            </w:tcMar>
            <w:vAlign w:val="center"/>
          </w:tcPr>
          <w:p>
            <w:pPr>
              <w:spacing w:after="40"/>
            </w:pPr>
            <w:r>
              <w:rPr>
                <w:sz w:val="18"/>
              </w:rPr>
              <w:t>Título, resumen, RSS o metadato sin cuerpo completo.</w:t>
            </w:r>
          </w:p>
        </w:tc>
        <w:tc>
          <w:tcPr>
            <w:tcW w:type="dxa" w:w="3816"/>
            <w:tcMar>
              <w:top w:w="80" w:type="dxa"/>
              <w:start w:w="120" w:type="dxa"/>
              <w:bottom w:w="80" w:type="dxa"/>
              <w:end w:w="120" w:type="dxa"/>
            </w:tcMar>
            <w:vAlign w:val="center"/>
          </w:tcPr>
          <w:p>
            <w:pPr>
              <w:spacing w:after="40"/>
            </w:pPr>
            <w:r>
              <w:rPr>
                <w:sz w:val="18"/>
              </w:rPr>
              <w:t>Señal de presencia; no equivale a texto completo.</w:t>
            </w:r>
          </w:p>
        </w:tc>
      </w:tr>
      <w:tr>
        <w:tc>
          <w:tcPr>
            <w:tcW w:type="dxa" w:w="1584"/>
            <w:tcMar>
              <w:top w:w="80" w:type="dxa"/>
              <w:start w:w="120" w:type="dxa"/>
              <w:bottom w:w="80" w:type="dxa"/>
              <w:end w:w="120" w:type="dxa"/>
            </w:tcMar>
            <w:vAlign w:val="center"/>
          </w:tcPr>
          <w:p>
            <w:pPr>
              <w:spacing w:after="40"/>
            </w:pPr>
            <w:r>
              <w:rPr>
                <w:sz w:val="18"/>
              </w:rPr>
              <w:t>too_short</w:t>
            </w:r>
          </w:p>
        </w:tc>
        <w:tc>
          <w:tcPr>
            <w:tcW w:type="dxa" w:w="3960"/>
            <w:tcMar>
              <w:top w:w="80" w:type="dxa"/>
              <w:start w:w="120" w:type="dxa"/>
              <w:bottom w:w="80" w:type="dxa"/>
              <w:end w:w="120" w:type="dxa"/>
            </w:tcMar>
            <w:vAlign w:val="center"/>
          </w:tcPr>
          <w:p>
            <w:pPr>
              <w:spacing w:after="40"/>
            </w:pPr>
            <w:r>
              <w:rPr>
                <w:sz w:val="18"/>
              </w:rPr>
              <w:t>Texto insuficiente para análisis pleno.</w:t>
            </w:r>
          </w:p>
        </w:tc>
        <w:tc>
          <w:tcPr>
            <w:tcW w:type="dxa" w:w="3816"/>
            <w:tcMar>
              <w:top w:w="80" w:type="dxa"/>
              <w:start w:w="120" w:type="dxa"/>
              <w:bottom w:w="80" w:type="dxa"/>
              <w:end w:w="120" w:type="dxa"/>
            </w:tcMar>
            <w:vAlign w:val="center"/>
          </w:tcPr>
          <w:p>
            <w:pPr>
              <w:spacing w:after="40"/>
            </w:pPr>
            <w:r>
              <w:rPr>
                <w:sz w:val="18"/>
              </w:rPr>
              <w:t>Debe auditarse antes de interpretar.</w:t>
            </w:r>
          </w:p>
        </w:tc>
      </w:tr>
      <w:tr>
        <w:tc>
          <w:tcPr>
            <w:tcW w:type="dxa" w:w="1584"/>
            <w:tcMar>
              <w:top w:w="80" w:type="dxa"/>
              <w:start w:w="120" w:type="dxa"/>
              <w:bottom w:w="80" w:type="dxa"/>
              <w:end w:w="120" w:type="dxa"/>
            </w:tcMar>
            <w:vAlign w:val="center"/>
          </w:tcPr>
          <w:p>
            <w:pPr>
              <w:spacing w:after="40"/>
            </w:pPr>
            <w:r>
              <w:rPr>
                <w:sz w:val="18"/>
              </w:rPr>
              <w:t>error/fetch_error</w:t>
            </w:r>
          </w:p>
        </w:tc>
        <w:tc>
          <w:tcPr>
            <w:tcW w:type="dxa" w:w="3960"/>
            <w:tcMar>
              <w:top w:w="80" w:type="dxa"/>
              <w:start w:w="120" w:type="dxa"/>
              <w:bottom w:w="80" w:type="dxa"/>
              <w:end w:w="120" w:type="dxa"/>
            </w:tcMar>
            <w:vAlign w:val="center"/>
          </w:tcPr>
          <w:p>
            <w:pPr>
              <w:spacing w:after="40"/>
            </w:pPr>
            <w:r>
              <w:rPr>
                <w:sz w:val="18"/>
              </w:rPr>
              <w:t>No se recuperó evidencia usable.</w:t>
            </w:r>
          </w:p>
        </w:tc>
        <w:tc>
          <w:tcPr>
            <w:tcW w:type="dxa" w:w="3816"/>
            <w:tcMar>
              <w:top w:w="80" w:type="dxa"/>
              <w:start w:w="120" w:type="dxa"/>
              <w:bottom w:w="80" w:type="dxa"/>
              <w:end w:w="120" w:type="dxa"/>
            </w:tcMar>
            <w:vAlign w:val="center"/>
          </w:tcPr>
          <w:p>
            <w:pPr>
              <w:spacing w:after="40"/>
            </w:pPr>
            <w:r>
              <w:rPr>
                <w:sz w:val="18"/>
              </w:rPr>
              <w:t>Se reporta como límite de cobertura.</w:t>
            </w:r>
          </w:p>
        </w:tc>
      </w:tr>
    </w:tbl>
    <w:p>
      <w:r>
        <w:t>Esta distinción evita que una referencia indexada, un resumen o una página restringida pese igual que un texto completo. Para foros y redes públicas, la evidencia es una señal indexable parcial, no una representación de toda la conversación social.</w:t>
      </w:r>
    </w:p>
    <w:p>
      <w:pPr>
        <w:pStyle w:val="Heading1"/>
      </w:pPr>
      <w:r>
        <w:t>3. Preprocesamiento y extracción narrativa</w:t>
      </w:r>
    </w:p>
    <w:p>
      <w:pPr>
        <w:pStyle w:val="ListBullet"/>
      </w:pPr>
      <w:r>
        <w:t>El análisis léxico usa texto normalizado en minúsculas, sin URL, con acentos homogeneizados y stopwords editables.</w:t>
      </w:r>
    </w:p>
    <w:p>
      <w:pPr>
        <w:pStyle w:val="ListBullet"/>
      </w:pPr>
      <w:r>
        <w:t>Monogramas, bigramas, trigramas y redes de coocurrencia se calculan después de la limpieza.</w:t>
      </w:r>
    </w:p>
    <w:p>
      <w:pPr>
        <w:pStyle w:val="ListBullet"/>
      </w:pPr>
      <w:r>
        <w:t>Los actores se extraen como candidatos sobre texto editorial original, pero se filtran etiquetas metodológicas, fuentes, tópicos y ruido.</w:t>
      </w:r>
    </w:p>
    <w:p>
      <w:pPr>
        <w:pStyle w:val="ListBullet"/>
      </w:pPr>
      <w:r>
        <w:t>Cada documento conserva evento inicial, conflicto, punto de cambio, resolución y consecuencias con oración y marcadores detectados.</w:t>
      </w:r>
    </w:p>
    <w:p>
      <w:pPr>
        <w:pStyle w:val="Heading1"/>
      </w:pPr>
      <w:r>
        <w:t>4. Red narrativa</w:t>
      </w:r>
    </w:p>
    <w:p>
      <w:pPr>
        <w:spacing w:before="40" w:after="120"/>
        <w:ind w:left="360"/>
      </w:pPr>
      <w:r>
        <w:rPr>
          <w:rFonts w:ascii="Courier New" w:hAnsi="Courier New"/>
          <w:sz w:val="18"/>
        </w:rPr>
        <w:t>G = (V, A, w, tau, sigma)</w:t>
      </w:r>
    </w:p>
    <w:p>
      <w:r>
        <w:t>V contiene documentos, actores, etapas narrativas, fuentes, años, localizaciones, tipos de fuente y conceptos lingüísticos. A contiene relaciones documento-actor, documento-etapa, actor-etapa, fuente-etapa, año-etapa, localización-etapa, fuente-concepto y coocurrencias concepto-concepto.</w:t>
      </w:r>
    </w:p>
    <w:p>
      <w:r>
        <w:t>Se agrega una capa de flujo narrativo: diálogo individual/foros → noticias → derivaciones técnicas o institucionales → investigación → otras derivaciones. Esta capa no es un peso; sirve para estudiar circulación y retroalimentación entre discursos.</w:t>
      </w:r>
    </w:p>
    <w:p>
      <w:r>
        <w:t>El modo base es neutral: los elementos narrativos no reciben pesos distintos por decreto. Una relación pesa más sólo si aparece más veces en el corpus filtrado. La ponderación por evidencia se conserva únicamente como análisis de sensibilidad o como análisis estratificado por tipo de fuente.</w:t>
      </w:r>
    </w:p>
    <w:p>
      <w:pPr>
        <w:spacing w:before="40" w:after="120"/>
        <w:ind w:left="360"/>
      </w:pPr>
      <w:r>
        <w:rPr>
          <w:rFonts w:ascii="Courier New" w:hAnsi="Courier New"/>
          <w:sz w:val="18"/>
        </w:rPr>
        <w:t>w_a = sum_{d in D} 1{a aparece en d}</w:t>
      </w:r>
    </w:p>
    <w:p>
      <w:pPr>
        <w:spacing w:before="40" w:after="120"/>
        <w:ind w:left="360"/>
      </w:pPr>
      <w:r>
        <w:rPr>
          <w:rFonts w:ascii="Courier New" w:hAnsi="Courier New"/>
          <w:sz w:val="18"/>
        </w:rPr>
        <w:t>w_norm_a = w_a / max_b w_b;   c_norm_v = c_v / max_u c_u;   degw_norm_v = degw_v / max_u degw_u</w:t>
      </w:r>
    </w:p>
    <w:p>
      <w:pPr>
        <w:spacing w:before="40" w:after="120"/>
        <w:ind w:left="360"/>
      </w:pPr>
      <w:r>
        <w:rPr>
          <w:rFonts w:ascii="Courier New" w:hAnsi="Courier New"/>
          <w:sz w:val="18"/>
        </w:rPr>
        <w:t>sigma_v = g1*c_norm_v + g2*degw_norm_v + g3*ev_v + g4*val_v,   sum g_i = 1</w:t>
      </w:r>
    </w:p>
    <w:p>
      <w:r>
        <w:t>Antes de los grafos semántico y de conocimiento se componen frases canónicas: si un bigrama o trigama repetido explica la mayoría de apariciones de sus partes, las partes se marcan como absorbidas y la frase completa se usa como nodo principal. Las aristas de coocurrencia y documento--concepto se construyen sobre esas unidades canónicas. La frase debe aparecer al menos dos veces para evitar conceptos accidentales.</w:t>
      </w:r>
    </w:p>
    <w:tbl>
      <w:tblPr>
        <w:tblStyle w:val="TableGrid"/>
        <w:tblW w:type="dxa" w:w="9360"/>
        <w:tblLook w:firstColumn="1" w:firstRow="1" w:lastColumn="0" w:lastRow="0" w:noHBand="0" w:noVBand="1" w:val="04A0"/>
        <w:tblLayout w:type="fixed"/>
      </w:tblPr>
      <w:tblGrid>
        <w:gridCol w:w="3120"/>
        <w:gridCol w:w="3120"/>
        <w:gridCol w:w="3120"/>
      </w:tblGrid>
      <w:tr>
        <w:tc>
          <w:tcPr>
            <w:tcW w:type="dxa" w:w="3456"/>
            <w:shd w:fill="F2F4F7"/>
            <w:tcMar>
              <w:top w:w="80" w:type="dxa"/>
              <w:start w:w="120" w:type="dxa"/>
              <w:bottom w:w="80" w:type="dxa"/>
              <w:end w:w="120" w:type="dxa"/>
            </w:tcMar>
            <w:vAlign w:val="center"/>
          </w:tcPr>
          <w:p>
            <w:r>
              <w:rPr>
                <w:b/>
                <w:sz w:val="19"/>
              </w:rPr>
              <w:t>Fuente</w:t>
            </w:r>
          </w:p>
        </w:tc>
        <w:tc>
          <w:tcPr>
            <w:tcW w:type="dxa" w:w="1584"/>
            <w:shd w:fill="F2F4F7"/>
            <w:tcMar>
              <w:top w:w="80" w:type="dxa"/>
              <w:start w:w="120" w:type="dxa"/>
              <w:bottom w:w="80" w:type="dxa"/>
              <w:end w:w="120" w:type="dxa"/>
            </w:tcMar>
            <w:vAlign w:val="center"/>
          </w:tcPr>
          <w:p>
            <w:r>
              <w:rPr>
                <w:b/>
                <w:sz w:val="19"/>
              </w:rPr>
              <w:t>Uso en modo base</w:t>
            </w:r>
          </w:p>
        </w:tc>
        <w:tc>
          <w:tcPr>
            <w:tcW w:type="dxa" w:w="4320"/>
            <w:shd w:fill="F2F4F7"/>
            <w:tcMar>
              <w:top w:w="80" w:type="dxa"/>
              <w:start w:w="120" w:type="dxa"/>
              <w:bottom w:w="80" w:type="dxa"/>
              <w:end w:w="120" w:type="dxa"/>
            </w:tcMar>
            <w:vAlign w:val="center"/>
          </w:tcPr>
          <w:p>
            <w:r>
              <w:rPr>
                <w:b/>
                <w:sz w:val="19"/>
              </w:rPr>
              <w:t>Uso en sensibilidad</w:t>
            </w:r>
          </w:p>
        </w:tc>
      </w:tr>
      <w:tr>
        <w:tc>
          <w:tcPr>
            <w:tcW w:type="dxa" w:w="3456"/>
            <w:tcMar>
              <w:top w:w="80" w:type="dxa"/>
              <w:start w:w="120" w:type="dxa"/>
              <w:bottom w:w="80" w:type="dxa"/>
              <w:end w:w="120" w:type="dxa"/>
            </w:tcMar>
            <w:vAlign w:val="center"/>
          </w:tcPr>
          <w:p>
            <w:pPr>
              <w:spacing w:after="40"/>
            </w:pPr>
            <w:r>
              <w:rPr>
                <w:sz w:val="18"/>
              </w:rPr>
              <w:t>Artículo científico abierto</w:t>
            </w:r>
          </w:p>
        </w:tc>
        <w:tc>
          <w:tcPr>
            <w:tcW w:type="dxa" w:w="1584"/>
            <w:tcMar>
              <w:top w:w="80" w:type="dxa"/>
              <w:start w:w="120" w:type="dxa"/>
              <w:bottom w:w="80" w:type="dxa"/>
              <w:end w:w="120" w:type="dxa"/>
            </w:tcMar>
            <w:vAlign w:val="center"/>
          </w:tcPr>
          <w:p>
            <w:pPr>
              <w:spacing w:after="40"/>
            </w:pPr>
            <w:r>
              <w:rPr>
                <w:sz w:val="18"/>
              </w:rPr>
              <w:t>Estrato separado; no vale más por defecto.</w:t>
            </w:r>
          </w:p>
        </w:tc>
        <w:tc>
          <w:tcPr>
            <w:tcW w:type="dxa" w:w="4320"/>
            <w:tcMar>
              <w:top w:w="80" w:type="dxa"/>
              <w:start w:w="120" w:type="dxa"/>
              <w:bottom w:w="80" w:type="dxa"/>
              <w:end w:w="120" w:type="dxa"/>
            </w:tcMar>
            <w:vAlign w:val="center"/>
          </w:tcPr>
          <w:p>
            <w:pPr>
              <w:spacing w:after="40"/>
            </w:pPr>
            <w:r>
              <w:rPr>
                <w:sz w:val="18"/>
              </w:rPr>
              <w:t>Puede ponderarse como evidencia alta si se declara.</w:t>
            </w:r>
          </w:p>
        </w:tc>
      </w:tr>
      <w:tr>
        <w:tc>
          <w:tcPr>
            <w:tcW w:type="dxa" w:w="3456"/>
            <w:tcMar>
              <w:top w:w="80" w:type="dxa"/>
              <w:start w:w="120" w:type="dxa"/>
              <w:bottom w:w="80" w:type="dxa"/>
              <w:end w:w="120" w:type="dxa"/>
            </w:tcMar>
            <w:vAlign w:val="center"/>
          </w:tcPr>
          <w:p>
            <w:pPr>
              <w:spacing w:after="40"/>
            </w:pPr>
            <w:r>
              <w:rPr>
                <w:sz w:val="18"/>
              </w:rPr>
              <w:t>Reporte institucional/industrial</w:t>
            </w:r>
          </w:p>
        </w:tc>
        <w:tc>
          <w:tcPr>
            <w:tcW w:type="dxa" w:w="1584"/>
            <w:tcMar>
              <w:top w:w="80" w:type="dxa"/>
              <w:start w:w="120" w:type="dxa"/>
              <w:bottom w:w="80" w:type="dxa"/>
              <w:end w:w="120" w:type="dxa"/>
            </w:tcMar>
            <w:vAlign w:val="center"/>
          </w:tcPr>
          <w:p>
            <w:pPr>
              <w:spacing w:after="40"/>
            </w:pPr>
            <w:r>
              <w:rPr>
                <w:sz w:val="18"/>
              </w:rPr>
              <w:t>Estrato separado; no vale más por defecto.</w:t>
            </w:r>
          </w:p>
        </w:tc>
        <w:tc>
          <w:tcPr>
            <w:tcW w:type="dxa" w:w="4320"/>
            <w:tcMar>
              <w:top w:w="80" w:type="dxa"/>
              <w:start w:w="120" w:type="dxa"/>
              <w:bottom w:w="80" w:type="dxa"/>
              <w:end w:w="120" w:type="dxa"/>
            </w:tcMar>
            <w:vAlign w:val="center"/>
          </w:tcPr>
          <w:p>
            <w:pPr>
              <w:spacing w:after="40"/>
            </w:pPr>
            <w:r>
              <w:rPr>
                <w:sz w:val="18"/>
              </w:rPr>
              <w:t>Puede contrastarse contra prensa/foros.</w:t>
            </w:r>
          </w:p>
        </w:tc>
      </w:tr>
      <w:tr>
        <w:tc>
          <w:tcPr>
            <w:tcW w:type="dxa" w:w="3456"/>
            <w:tcMar>
              <w:top w:w="80" w:type="dxa"/>
              <w:start w:w="120" w:type="dxa"/>
              <w:bottom w:w="80" w:type="dxa"/>
              <w:end w:w="120" w:type="dxa"/>
            </w:tcMar>
            <w:vAlign w:val="center"/>
          </w:tcPr>
          <w:p>
            <w:pPr>
              <w:spacing w:after="40"/>
            </w:pPr>
            <w:r>
              <w:rPr>
                <w:sz w:val="18"/>
              </w:rPr>
              <w:t>Noticia</w:t>
            </w:r>
          </w:p>
        </w:tc>
        <w:tc>
          <w:tcPr>
            <w:tcW w:type="dxa" w:w="1584"/>
            <w:tcMar>
              <w:top w:w="80" w:type="dxa"/>
              <w:start w:w="120" w:type="dxa"/>
              <w:bottom w:w="80" w:type="dxa"/>
              <w:end w:w="120" w:type="dxa"/>
            </w:tcMar>
            <w:vAlign w:val="center"/>
          </w:tcPr>
          <w:p>
            <w:pPr>
              <w:spacing w:after="40"/>
            </w:pPr>
            <w:r>
              <w:rPr>
                <w:sz w:val="18"/>
              </w:rPr>
              <w:t>Narrativa pública mediada por prensa.</w:t>
            </w:r>
          </w:p>
        </w:tc>
        <w:tc>
          <w:tcPr>
            <w:tcW w:type="dxa" w:w="4320"/>
            <w:tcMar>
              <w:top w:w="80" w:type="dxa"/>
              <w:start w:w="120" w:type="dxa"/>
              <w:bottom w:w="80" w:type="dxa"/>
              <w:end w:w="120" w:type="dxa"/>
            </w:tcMar>
            <w:vAlign w:val="center"/>
          </w:tcPr>
          <w:p>
            <w:pPr>
              <w:spacing w:after="40"/>
            </w:pPr>
            <w:r>
              <w:rPr>
                <w:sz w:val="18"/>
              </w:rPr>
              <w:t>Comparar contra artículos y foros.</w:t>
            </w:r>
          </w:p>
        </w:tc>
      </w:tr>
      <w:tr>
        <w:tc>
          <w:tcPr>
            <w:tcW w:type="dxa" w:w="3456"/>
            <w:tcMar>
              <w:top w:w="80" w:type="dxa"/>
              <w:start w:w="120" w:type="dxa"/>
              <w:bottom w:w="80" w:type="dxa"/>
              <w:end w:w="120" w:type="dxa"/>
            </w:tcMar>
            <w:vAlign w:val="center"/>
          </w:tcPr>
          <w:p>
            <w:pPr>
              <w:spacing w:after="40"/>
            </w:pPr>
            <w:r>
              <w:rPr>
                <w:sz w:val="18"/>
              </w:rPr>
              <w:t>Foro/discusión pública</w:t>
            </w:r>
          </w:p>
        </w:tc>
        <w:tc>
          <w:tcPr>
            <w:tcW w:type="dxa" w:w="1584"/>
            <w:tcMar>
              <w:top w:w="80" w:type="dxa"/>
              <w:start w:w="120" w:type="dxa"/>
              <w:bottom w:w="80" w:type="dxa"/>
              <w:end w:w="120" w:type="dxa"/>
            </w:tcMar>
            <w:vAlign w:val="center"/>
          </w:tcPr>
          <w:p>
            <w:pPr>
              <w:spacing w:after="40"/>
            </w:pPr>
            <w:r>
              <w:rPr>
                <w:sz w:val="18"/>
              </w:rPr>
              <w:t>Prácticas, opiniones y conflictos de usuarios.</w:t>
            </w:r>
          </w:p>
        </w:tc>
        <w:tc>
          <w:tcPr>
            <w:tcW w:type="dxa" w:w="4320"/>
            <w:tcMar>
              <w:top w:w="80" w:type="dxa"/>
              <w:start w:w="120" w:type="dxa"/>
              <w:bottom w:w="80" w:type="dxa"/>
              <w:end w:w="120" w:type="dxa"/>
            </w:tcMar>
            <w:vAlign w:val="center"/>
          </w:tcPr>
          <w:p>
            <w:pPr>
              <w:spacing w:after="40"/>
            </w:pPr>
            <w:r>
              <w:rPr>
                <w:sz w:val="18"/>
              </w:rPr>
              <w:t>Comparar como discurso situado.</w:t>
            </w:r>
          </w:p>
        </w:tc>
      </w:tr>
      <w:tr>
        <w:tc>
          <w:tcPr>
            <w:tcW w:type="dxa" w:w="3456"/>
            <w:tcMar>
              <w:top w:w="80" w:type="dxa"/>
              <w:start w:w="120" w:type="dxa"/>
              <w:bottom w:w="80" w:type="dxa"/>
              <w:end w:w="120" w:type="dxa"/>
            </w:tcMar>
            <w:vAlign w:val="center"/>
          </w:tcPr>
          <w:p>
            <w:pPr>
              <w:spacing w:after="40"/>
            </w:pPr>
            <w:r>
              <w:rPr>
                <w:sz w:val="18"/>
              </w:rPr>
              <w:t>No clasificable</w:t>
            </w:r>
          </w:p>
        </w:tc>
        <w:tc>
          <w:tcPr>
            <w:tcW w:type="dxa" w:w="1584"/>
            <w:tcMar>
              <w:top w:w="80" w:type="dxa"/>
              <w:start w:w="120" w:type="dxa"/>
              <w:bottom w:w="80" w:type="dxa"/>
              <w:end w:w="120" w:type="dxa"/>
            </w:tcMar>
            <w:vAlign w:val="center"/>
          </w:tcPr>
          <w:p>
            <w:pPr>
              <w:spacing w:after="40"/>
            </w:pPr>
            <w:r>
              <w:rPr>
                <w:sz w:val="18"/>
              </w:rPr>
              <w:t>Auditoría; no debe dominar el análisis.</w:t>
            </w:r>
          </w:p>
        </w:tc>
        <w:tc>
          <w:tcPr>
            <w:tcW w:type="dxa" w:w="4320"/>
            <w:tcMar>
              <w:top w:w="80" w:type="dxa"/>
              <w:start w:w="120" w:type="dxa"/>
              <w:bottom w:w="80" w:type="dxa"/>
              <w:end w:w="120" w:type="dxa"/>
            </w:tcMar>
            <w:vAlign w:val="center"/>
          </w:tcPr>
          <w:p>
            <w:pPr>
              <w:spacing w:after="40"/>
            </w:pPr>
            <w:r>
              <w:rPr>
                <w:sz w:val="18"/>
              </w:rPr>
              <w:t>Excluir o analizar aparte.</w:t>
            </w:r>
          </w:p>
        </w:tc>
      </w:tr>
    </w:tbl>
    <w:p>
      <w:pPr>
        <w:pStyle w:val="Heading1"/>
      </w:pPr>
      <w:r>
        <w:t>5. Selector nodal multiobjetivo inspirado en SCP</w:t>
      </w:r>
    </w:p>
    <w:p>
      <w:r>
        <w:t>El universo no son los documentos sino las aristas objetivo A*. El modelo se inspira en cobertura de conjuntos, pero no debe llamarse SCP clásico estricto mientras no se exija cobertura total del universo. El tercer objetivo mide daño estructural: una arista se cuenta como removida si toca al menos un nodo seleccionado.</w:t>
      </w:r>
    </w:p>
    <w:tbl>
      <w:tblPr>
        <w:tblStyle w:val="TableGrid"/>
        <w:tblW w:type="dxa" w:w="9360"/>
        <w:tblLook w:firstColumn="1" w:firstRow="1" w:lastColumn="0" w:lastRow="0" w:noHBand="0" w:noVBand="1" w:val="04A0"/>
        <w:tblLayout w:type="fixed"/>
      </w:tblPr>
      <w:tblGrid>
        <w:gridCol w:w="4680"/>
        <w:gridCol w:w="4680"/>
      </w:tblGrid>
      <w:tr>
        <w:tc>
          <w:tcPr>
            <w:tcW w:type="dxa" w:w="2160"/>
            <w:shd w:fill="F2F4F7"/>
            <w:tcMar>
              <w:top w:w="80" w:type="dxa"/>
              <w:start w:w="120" w:type="dxa"/>
              <w:bottom w:w="80" w:type="dxa"/>
              <w:end w:w="120" w:type="dxa"/>
            </w:tcMar>
            <w:vAlign w:val="center"/>
          </w:tcPr>
          <w:p>
            <w:r>
              <w:rPr>
                <w:b/>
                <w:sz w:val="19"/>
              </w:rPr>
              <w:t>Símbolo</w:t>
            </w:r>
          </w:p>
        </w:tc>
        <w:tc>
          <w:tcPr>
            <w:tcW w:type="dxa" w:w="7200"/>
            <w:shd w:fill="F2F4F7"/>
            <w:tcMar>
              <w:top w:w="80" w:type="dxa"/>
              <w:start w:w="120" w:type="dxa"/>
              <w:bottom w:w="80" w:type="dxa"/>
              <w:end w:w="120" w:type="dxa"/>
            </w:tcMar>
            <w:vAlign w:val="center"/>
          </w:tcPr>
          <w:p>
            <w:r>
              <w:rPr>
                <w:b/>
                <w:sz w:val="19"/>
              </w:rPr>
              <w:t>Definición</w:t>
            </w:r>
          </w:p>
        </w:tc>
      </w:tr>
      <w:tr>
        <w:tc>
          <w:tcPr>
            <w:tcW w:type="dxa" w:w="2160"/>
            <w:tcMar>
              <w:top w:w="80" w:type="dxa"/>
              <w:start w:w="120" w:type="dxa"/>
              <w:bottom w:w="80" w:type="dxa"/>
              <w:end w:w="120" w:type="dxa"/>
            </w:tcMar>
            <w:vAlign w:val="center"/>
          </w:tcPr>
          <w:p>
            <w:pPr>
              <w:spacing w:after="40"/>
            </w:pPr>
            <w:r>
              <w:rPr>
                <w:sz w:val="18"/>
              </w:rPr>
              <w:t>x_v ∈ {0,1}</w:t>
            </w:r>
          </w:p>
        </w:tc>
        <w:tc>
          <w:tcPr>
            <w:tcW w:type="dxa" w:w="7200"/>
            <w:tcMar>
              <w:top w:w="80" w:type="dxa"/>
              <w:start w:w="120" w:type="dxa"/>
              <w:bottom w:w="80" w:type="dxa"/>
              <w:end w:w="120" w:type="dxa"/>
            </w:tcMar>
            <w:vAlign w:val="center"/>
          </w:tcPr>
          <w:p>
            <w:pPr>
              <w:spacing w:after="40"/>
            </w:pPr>
            <w:r>
              <w:rPr>
                <w:sz w:val="18"/>
              </w:rPr>
              <w:t>1 si el nodo candidato v es seleccionado.</w:t>
            </w:r>
          </w:p>
        </w:tc>
      </w:tr>
      <w:tr>
        <w:tc>
          <w:tcPr>
            <w:tcW w:type="dxa" w:w="2160"/>
            <w:tcMar>
              <w:top w:w="80" w:type="dxa"/>
              <w:start w:w="120" w:type="dxa"/>
              <w:bottom w:w="80" w:type="dxa"/>
              <w:end w:w="120" w:type="dxa"/>
            </w:tcMar>
            <w:vAlign w:val="center"/>
          </w:tcPr>
          <w:p>
            <w:pPr>
              <w:spacing w:after="40"/>
            </w:pPr>
            <w:r>
              <w:rPr>
                <w:sz w:val="18"/>
              </w:rPr>
              <w:t>r_a ∈ {0,1}</w:t>
            </w:r>
          </w:p>
        </w:tc>
        <w:tc>
          <w:tcPr>
            <w:tcW w:type="dxa" w:w="7200"/>
            <w:tcMar>
              <w:top w:w="80" w:type="dxa"/>
              <w:start w:w="120" w:type="dxa"/>
              <w:bottom w:w="80" w:type="dxa"/>
              <w:end w:w="120" w:type="dxa"/>
            </w:tcMar>
            <w:vAlign w:val="center"/>
          </w:tcPr>
          <w:p>
            <w:pPr>
              <w:spacing w:after="40"/>
            </w:pPr>
            <w:r>
              <w:rPr>
                <w:sz w:val="18"/>
              </w:rPr>
              <w:t>1 si la arista a se remueve al retirar el conjunto seleccionado C.</w:t>
            </w:r>
          </w:p>
        </w:tc>
      </w:tr>
      <w:tr>
        <w:tc>
          <w:tcPr>
            <w:tcW w:type="dxa" w:w="2160"/>
            <w:tcMar>
              <w:top w:w="80" w:type="dxa"/>
              <w:start w:w="120" w:type="dxa"/>
              <w:bottom w:w="80" w:type="dxa"/>
              <w:end w:w="120" w:type="dxa"/>
            </w:tcMar>
            <w:vAlign w:val="center"/>
          </w:tcPr>
          <w:p>
            <w:pPr>
              <w:spacing w:after="40"/>
            </w:pPr>
            <w:r>
              <w:rPr>
                <w:sz w:val="18"/>
              </w:rPr>
              <w:t>b_av ∈ {0,1}</w:t>
            </w:r>
          </w:p>
        </w:tc>
        <w:tc>
          <w:tcPr>
            <w:tcW w:type="dxa" w:w="7200"/>
            <w:tcMar>
              <w:top w:w="80" w:type="dxa"/>
              <w:start w:w="120" w:type="dxa"/>
              <w:bottom w:w="80" w:type="dxa"/>
              <w:end w:w="120" w:type="dxa"/>
            </w:tcMar>
            <w:vAlign w:val="center"/>
          </w:tcPr>
          <w:p>
            <w:pPr>
              <w:spacing w:after="40"/>
            </w:pPr>
            <w:r>
              <w:rPr>
                <w:sz w:val="18"/>
              </w:rPr>
              <w:t>1 si la arista a es incidente al nodo v.</w:t>
            </w:r>
          </w:p>
        </w:tc>
      </w:tr>
      <w:tr>
        <w:tc>
          <w:tcPr>
            <w:tcW w:type="dxa" w:w="2160"/>
            <w:tcMar>
              <w:top w:w="80" w:type="dxa"/>
              <w:start w:w="120" w:type="dxa"/>
              <w:bottom w:w="80" w:type="dxa"/>
              <w:end w:w="120" w:type="dxa"/>
            </w:tcMar>
            <w:vAlign w:val="center"/>
          </w:tcPr>
          <w:p>
            <w:pPr>
              <w:spacing w:after="40"/>
            </w:pPr>
            <w:r>
              <w:rPr>
                <w:sz w:val="18"/>
              </w:rPr>
              <w:t>k</w:t>
            </w:r>
          </w:p>
        </w:tc>
        <w:tc>
          <w:tcPr>
            <w:tcW w:type="dxa" w:w="7200"/>
            <w:tcMar>
              <w:top w:w="80" w:type="dxa"/>
              <w:start w:w="120" w:type="dxa"/>
              <w:bottom w:w="80" w:type="dxa"/>
              <w:end w:w="120" w:type="dxa"/>
            </w:tcMar>
            <w:vAlign w:val="center"/>
          </w:tcPr>
          <w:p>
            <w:pPr>
              <w:spacing w:after="40"/>
            </w:pPr>
            <w:r>
              <w:rPr>
                <w:sz w:val="18"/>
              </w:rPr>
              <w:t>Máximo de nodos interpretables en la solución.</w:t>
            </w:r>
          </w:p>
        </w:tc>
      </w:tr>
      <w:tr>
        <w:tc>
          <w:tcPr>
            <w:tcW w:type="dxa" w:w="2160"/>
            <w:tcMar>
              <w:top w:w="80" w:type="dxa"/>
              <w:start w:w="120" w:type="dxa"/>
              <w:bottom w:w="80" w:type="dxa"/>
              <w:end w:w="120" w:type="dxa"/>
            </w:tcMar>
            <w:vAlign w:val="center"/>
          </w:tcPr>
          <w:p>
            <w:pPr>
              <w:spacing w:after="40"/>
            </w:pPr>
            <w:r>
              <w:rPr>
                <w:sz w:val="18"/>
              </w:rPr>
              <w:t>e_v</w:t>
            </w:r>
          </w:p>
        </w:tc>
        <w:tc>
          <w:tcPr>
            <w:tcW w:type="dxa" w:w="7200"/>
            <w:tcMar>
              <w:top w:w="80" w:type="dxa"/>
              <w:start w:w="120" w:type="dxa"/>
              <w:bottom w:w="80" w:type="dxa"/>
              <w:end w:w="120" w:type="dxa"/>
            </w:tcMar>
            <w:vAlign w:val="center"/>
          </w:tcPr>
          <w:p>
            <w:pPr>
              <w:spacing w:after="40"/>
            </w:pPr>
            <w:r>
              <w:rPr>
                <w:sz w:val="18"/>
              </w:rPr>
              <w:t>Elegibilidad del nodo después de exclusiones manuales/metodológicas.</w:t>
            </w:r>
          </w:p>
        </w:tc>
      </w:tr>
    </w:tbl>
    <w:p>
      <w:pPr>
        <w:pStyle w:val="Heading2"/>
      </w:pPr>
      <w:r>
        <w:t>5.1 Restricciones</w:t>
      </w:r>
    </w:p>
    <w:p>
      <w:pPr>
        <w:spacing w:before="40" w:after="120"/>
        <w:ind w:left="360"/>
      </w:pPr>
      <w:r>
        <w:rPr>
          <w:rFonts w:ascii="Courier New" w:hAnsi="Courier New"/>
          <w:sz w:val="18"/>
        </w:rPr>
        <w:t>r_a &gt;= b_av x_v   para todo a in A*, v in B</w:t>
      </w:r>
    </w:p>
    <w:p>
      <w:pPr>
        <w:spacing w:before="40" w:after="120"/>
        <w:ind w:left="360"/>
      </w:pPr>
      <w:r>
        <w:rPr>
          <w:rFonts w:ascii="Courier New" w:hAnsi="Courier New"/>
          <w:sz w:val="18"/>
        </w:rPr>
        <w:t>r_a &lt;= sum_{v in B} b_av x_v   para todo a in A*</w:t>
      </w:r>
    </w:p>
    <w:p>
      <w:pPr>
        <w:spacing w:before="40" w:after="120"/>
        <w:ind w:left="360"/>
      </w:pPr>
      <w:r>
        <w:rPr>
          <w:rFonts w:ascii="Courier New" w:hAnsi="Courier New"/>
          <w:sz w:val="18"/>
        </w:rPr>
        <w:t>sum_{v in B} x_v &lt;= k;     x_v &lt;= e_v</w:t>
      </w:r>
    </w:p>
    <w:p>
      <w:r>
        <w:t>Estas restricciones implementan remoción lógica de aristas, presupuesto interpretativo y exclusión de ruido.</w:t>
      </w:r>
    </w:p>
    <w:p>
      <w:pPr>
        <w:pStyle w:val="Heading2"/>
      </w:pPr>
      <w:r>
        <w:t>5.2 Objetivos</w:t>
      </w:r>
    </w:p>
    <w:tbl>
      <w:tblPr>
        <w:tblStyle w:val="TableGrid"/>
        <w:tblW w:type="dxa" w:w="9360"/>
        <w:tblLook w:firstColumn="1" w:firstRow="1" w:lastColumn="0" w:lastRow="0" w:noHBand="0" w:noVBand="1" w:val="04A0"/>
        <w:tblLayout w:type="fixed"/>
      </w:tblPr>
      <w:tblGrid>
        <w:gridCol w:w="3120"/>
        <w:gridCol w:w="3120"/>
        <w:gridCol w:w="3120"/>
      </w:tblGrid>
      <w:tr>
        <w:tc>
          <w:tcPr>
            <w:tcW w:type="dxa" w:w="1440"/>
            <w:shd w:fill="F2F4F7"/>
            <w:tcMar>
              <w:top w:w="80" w:type="dxa"/>
              <w:start w:w="120" w:type="dxa"/>
              <w:bottom w:w="80" w:type="dxa"/>
              <w:end w:w="120" w:type="dxa"/>
            </w:tcMar>
            <w:vAlign w:val="center"/>
          </w:tcPr>
          <w:p>
            <w:r>
              <w:rPr>
                <w:b/>
                <w:sz w:val="19"/>
              </w:rPr>
              <w:t>Objetivo</w:t>
            </w:r>
          </w:p>
        </w:tc>
        <w:tc>
          <w:tcPr>
            <w:tcW w:type="dxa" w:w="3312"/>
            <w:shd w:fill="F2F4F7"/>
            <w:tcMar>
              <w:top w:w="80" w:type="dxa"/>
              <w:start w:w="120" w:type="dxa"/>
              <w:bottom w:w="80" w:type="dxa"/>
              <w:end w:w="120" w:type="dxa"/>
            </w:tcMar>
            <w:vAlign w:val="center"/>
          </w:tcPr>
          <w:p>
            <w:r>
              <w:rPr>
                <w:b/>
                <w:sz w:val="19"/>
              </w:rPr>
              <w:t>Forma normalizada</w:t>
            </w:r>
          </w:p>
        </w:tc>
        <w:tc>
          <w:tcPr>
            <w:tcW w:type="dxa" w:w="4608"/>
            <w:shd w:fill="F2F4F7"/>
            <w:tcMar>
              <w:top w:w="80" w:type="dxa"/>
              <w:start w:w="120" w:type="dxa"/>
              <w:bottom w:w="80" w:type="dxa"/>
              <w:end w:w="120" w:type="dxa"/>
            </w:tcMar>
            <w:vAlign w:val="center"/>
          </w:tcPr>
          <w:p>
            <w:r>
              <w:rPr>
                <w:b/>
                <w:sz w:val="19"/>
              </w:rPr>
              <w:t>Sentido</w:t>
            </w:r>
          </w:p>
        </w:tc>
      </w:tr>
      <w:tr>
        <w:tc>
          <w:tcPr>
            <w:tcW w:type="dxa" w:w="1440"/>
            <w:tcMar>
              <w:top w:w="80" w:type="dxa"/>
              <w:start w:w="120" w:type="dxa"/>
              <w:bottom w:w="80" w:type="dxa"/>
              <w:end w:w="120" w:type="dxa"/>
            </w:tcMar>
            <w:vAlign w:val="center"/>
          </w:tcPr>
          <w:p>
            <w:pPr>
              <w:spacing w:after="40"/>
            </w:pPr>
            <w:r>
              <w:rPr>
                <w:sz w:val="18"/>
              </w:rPr>
              <w:t>f1</w:t>
            </w:r>
          </w:p>
        </w:tc>
        <w:tc>
          <w:tcPr>
            <w:tcW w:type="dxa" w:w="3312"/>
            <w:tcMar>
              <w:top w:w="80" w:type="dxa"/>
              <w:start w:w="120" w:type="dxa"/>
              <w:bottom w:w="80" w:type="dxa"/>
              <w:end w:w="120" w:type="dxa"/>
            </w:tcMar>
            <w:vAlign w:val="center"/>
          </w:tcPr>
          <w:p>
            <w:pPr>
              <w:spacing w:after="40"/>
            </w:pPr>
            <w:r>
              <w:rPr>
                <w:sz w:val="18"/>
              </w:rPr>
              <w:t>sum x_v / |B|</w:t>
            </w:r>
          </w:p>
        </w:tc>
        <w:tc>
          <w:tcPr>
            <w:tcW w:type="dxa" w:w="4608"/>
            <w:tcMar>
              <w:top w:w="80" w:type="dxa"/>
              <w:start w:w="120" w:type="dxa"/>
              <w:bottom w:w="80" w:type="dxa"/>
              <w:end w:w="120" w:type="dxa"/>
            </w:tcMar>
            <w:vAlign w:val="center"/>
          </w:tcPr>
          <w:p>
            <w:pPr>
              <w:spacing w:after="40"/>
            </w:pPr>
            <w:r>
              <w:rPr>
                <w:sz w:val="18"/>
              </w:rPr>
              <w:t>Minimizar número relativo de nodos.</w:t>
            </w:r>
          </w:p>
        </w:tc>
      </w:tr>
      <w:tr>
        <w:tc>
          <w:tcPr>
            <w:tcW w:type="dxa" w:w="1440"/>
            <w:tcMar>
              <w:top w:w="80" w:type="dxa"/>
              <w:start w:w="120" w:type="dxa"/>
              <w:bottom w:w="80" w:type="dxa"/>
              <w:end w:w="120" w:type="dxa"/>
            </w:tcMar>
            <w:vAlign w:val="center"/>
          </w:tcPr>
          <w:p>
            <w:pPr>
              <w:spacing w:after="40"/>
            </w:pPr>
            <w:r>
              <w:rPr>
                <w:sz w:val="18"/>
              </w:rPr>
              <w:t>f2</w:t>
            </w:r>
          </w:p>
        </w:tc>
        <w:tc>
          <w:tcPr>
            <w:tcW w:type="dxa" w:w="3312"/>
            <w:tcMar>
              <w:top w:w="80" w:type="dxa"/>
              <w:start w:w="120" w:type="dxa"/>
              <w:bottom w:w="80" w:type="dxa"/>
              <w:end w:w="120" w:type="dxa"/>
            </w:tcMar>
            <w:vAlign w:val="center"/>
          </w:tcPr>
          <w:p>
            <w:pPr>
              <w:spacing w:after="40"/>
            </w:pPr>
            <w:r>
              <w:rPr>
                <w:sz w:val="18"/>
              </w:rPr>
              <w:t>sum sigma_v x_v / sum sigma_v</w:t>
            </w:r>
          </w:p>
        </w:tc>
        <w:tc>
          <w:tcPr>
            <w:tcW w:type="dxa" w:w="4608"/>
            <w:tcMar>
              <w:top w:w="80" w:type="dxa"/>
              <w:start w:w="120" w:type="dxa"/>
              <w:bottom w:w="80" w:type="dxa"/>
              <w:end w:w="120" w:type="dxa"/>
            </w:tcMar>
            <w:vAlign w:val="center"/>
          </w:tcPr>
          <w:p>
            <w:pPr>
              <w:spacing w:after="40"/>
            </w:pPr>
            <w:r>
              <w:rPr>
                <w:sz w:val="18"/>
              </w:rPr>
              <w:t>Maximizar importancia nodal explicada.</w:t>
            </w:r>
          </w:p>
        </w:tc>
      </w:tr>
      <w:tr>
        <w:tc>
          <w:tcPr>
            <w:tcW w:type="dxa" w:w="1440"/>
            <w:tcMar>
              <w:top w:w="80" w:type="dxa"/>
              <w:start w:w="120" w:type="dxa"/>
              <w:bottom w:w="80" w:type="dxa"/>
              <w:end w:w="120" w:type="dxa"/>
            </w:tcMar>
            <w:vAlign w:val="center"/>
          </w:tcPr>
          <w:p>
            <w:pPr>
              <w:spacing w:after="40"/>
            </w:pPr>
            <w:r>
              <w:rPr>
                <w:sz w:val="18"/>
              </w:rPr>
              <w:t>f3</w:t>
            </w:r>
          </w:p>
        </w:tc>
        <w:tc>
          <w:tcPr>
            <w:tcW w:type="dxa" w:w="3312"/>
            <w:tcMar>
              <w:top w:w="80" w:type="dxa"/>
              <w:start w:w="120" w:type="dxa"/>
              <w:bottom w:w="80" w:type="dxa"/>
              <w:end w:w="120" w:type="dxa"/>
            </w:tcMar>
            <w:vAlign w:val="center"/>
          </w:tcPr>
          <w:p>
            <w:pPr>
              <w:spacing w:after="40"/>
            </w:pPr>
            <w:r>
              <w:rPr>
                <w:sz w:val="18"/>
              </w:rPr>
              <w:t>sum w_a r_a / sum w_a</w:t>
            </w:r>
          </w:p>
        </w:tc>
        <w:tc>
          <w:tcPr>
            <w:tcW w:type="dxa" w:w="4608"/>
            <w:tcMar>
              <w:top w:w="80" w:type="dxa"/>
              <w:start w:w="120" w:type="dxa"/>
              <w:bottom w:w="80" w:type="dxa"/>
              <w:end w:w="120" w:type="dxa"/>
            </w:tcMar>
            <w:vAlign w:val="center"/>
          </w:tcPr>
          <w:p>
            <w:pPr>
              <w:spacing w:after="40"/>
            </w:pPr>
            <w:r>
              <w:rPr>
                <w:sz w:val="18"/>
              </w:rPr>
              <w:t>Minimizar daño estructural por aristas removidas.</w:t>
            </w:r>
          </w:p>
        </w:tc>
      </w:tr>
    </w:tbl>
    <w:p>
      <w:pPr>
        <w:spacing w:before="40" w:after="120"/>
        <w:ind w:left="360"/>
      </w:pPr>
      <w:r>
        <w:rPr>
          <w:rFonts w:ascii="Courier New" w:hAnsi="Courier New"/>
          <w:sz w:val="18"/>
        </w:rPr>
        <w:t>g(x,r) = (1 - f1(x), f2(x), 1 - f3(r)) in [0,1]^3</w:t>
      </w:r>
    </w:p>
    <w:p>
      <w:r>
        <w:t>Las soluciones se comparan por dominancia de Pareto. Los métodos se comparan con hipervolumen normalizado aproximado y con una superficie empírica u1 × u3 → u2 para no confundir una proyección 2D con el frente completo.</w:t>
      </w:r>
    </w:p>
    <w:p>
      <w:r>
        <w:br w:type="page"/>
      </w:r>
    </w:p>
    <w:p>
      <w:pPr>
        <w:pStyle w:val="Heading1"/>
      </w:pPr>
      <w:r>
        <w:t>6. Métodos de solución</w:t>
      </w:r>
    </w:p>
    <w:p>
      <w:r>
        <w:t>Todos los métodos se evalúan bajo el mismo protocolo: misma instancia, mismas restricciones, mismo criterio de factibilidad, mismo presupuesto de evaluaciones de función objetivo y las mismas métricas de calidad de frente.</w:t>
      </w:r>
    </w:p>
    <w:tbl>
      <w:tblPr>
        <w:tblStyle w:val="TableGrid"/>
        <w:tblW w:type="dxa" w:w="9360"/>
        <w:tblLook w:firstColumn="1" w:firstRow="1" w:lastColumn="0" w:lastRow="0" w:noHBand="0" w:noVBand="1" w:val="04A0"/>
        <w:tblLayout w:type="fixed"/>
      </w:tblPr>
      <w:tblGrid>
        <w:gridCol w:w="3120"/>
        <w:gridCol w:w="3120"/>
        <w:gridCol w:w="3120"/>
      </w:tblGrid>
      <w:tr>
        <w:tc>
          <w:tcPr>
            <w:tcW w:type="dxa" w:w="2448"/>
            <w:shd w:fill="F2F4F7"/>
            <w:tcMar>
              <w:top w:w="80" w:type="dxa"/>
              <w:start w:w="120" w:type="dxa"/>
              <w:bottom w:w="80" w:type="dxa"/>
              <w:end w:w="120" w:type="dxa"/>
            </w:tcMar>
            <w:vAlign w:val="center"/>
          </w:tcPr>
          <w:p>
            <w:r>
              <w:rPr>
                <w:b/>
                <w:sz w:val="19"/>
              </w:rPr>
              <w:t>Método</w:t>
            </w:r>
          </w:p>
        </w:tc>
        <w:tc>
          <w:tcPr>
            <w:tcW w:type="dxa" w:w="4320"/>
            <w:shd w:fill="F2F4F7"/>
            <w:tcMar>
              <w:top w:w="80" w:type="dxa"/>
              <w:start w:w="120" w:type="dxa"/>
              <w:bottom w:w="80" w:type="dxa"/>
              <w:end w:w="120" w:type="dxa"/>
            </w:tcMar>
            <w:vAlign w:val="center"/>
          </w:tcPr>
          <w:p>
            <w:r>
              <w:rPr>
                <w:b/>
                <w:sz w:val="19"/>
              </w:rPr>
              <w:t>Estrategia de búsqueda</w:t>
            </w:r>
          </w:p>
        </w:tc>
        <w:tc>
          <w:tcPr>
            <w:tcW w:type="dxa" w:w="2592"/>
            <w:shd w:fill="F2F4F7"/>
            <w:tcMar>
              <w:top w:w="80" w:type="dxa"/>
              <w:start w:w="120" w:type="dxa"/>
              <w:bottom w:w="80" w:type="dxa"/>
              <w:end w:w="120" w:type="dxa"/>
            </w:tcMar>
            <w:vAlign w:val="center"/>
          </w:tcPr>
          <w:p>
            <w:r>
              <w:rPr>
                <w:b/>
                <w:sz w:val="19"/>
              </w:rPr>
              <w:t>Condiciones comunes de evaluación</w:t>
            </w:r>
          </w:p>
        </w:tc>
      </w:tr>
      <w:tr>
        <w:tc>
          <w:tcPr>
            <w:tcW w:type="dxa" w:w="2448"/>
            <w:tcMar>
              <w:top w:w="80" w:type="dxa"/>
              <w:start w:w="120" w:type="dxa"/>
              <w:bottom w:w="80" w:type="dxa"/>
              <w:end w:w="120" w:type="dxa"/>
            </w:tcMar>
            <w:vAlign w:val="center"/>
          </w:tcPr>
          <w:p>
            <w:pPr>
              <w:spacing w:after="40"/>
            </w:pPr>
            <w:r>
              <w:rPr>
                <w:sz w:val="18"/>
              </w:rPr>
              <w:t>Barrido glotón ponderado</w:t>
            </w:r>
          </w:p>
        </w:tc>
        <w:tc>
          <w:tcPr>
            <w:tcW w:type="dxa" w:w="4320"/>
            <w:tcMar>
              <w:top w:w="80" w:type="dxa"/>
              <w:start w:w="120" w:type="dxa"/>
              <w:bottom w:w="80" w:type="dxa"/>
              <w:end w:w="120" w:type="dxa"/>
            </w:tcMar>
            <w:vAlign w:val="center"/>
          </w:tcPr>
          <w:p>
            <w:pPr>
              <w:spacing w:after="40"/>
            </w:pPr>
            <w:r>
              <w:rPr>
                <w:sz w:val="18"/>
              </w:rPr>
              <w:t>Construye soluciones para distintos vectores de peso sobre u1,u2,u3.</w:t>
            </w:r>
          </w:p>
        </w:tc>
        <w:tc>
          <w:tcPr>
            <w:tcW w:type="dxa" w:w="2592"/>
            <w:tcMar>
              <w:top w:w="80" w:type="dxa"/>
              <w:start w:w="120" w:type="dxa"/>
              <w:bottom w:w="80" w:type="dxa"/>
              <w:end w:w="120" w:type="dxa"/>
            </w:tcMar>
            <w:vAlign w:val="center"/>
          </w:tcPr>
          <w:p>
            <w:pPr>
              <w:spacing w:after="40"/>
            </w:pPr>
            <w:r>
              <w:rPr>
                <w:sz w:val="18"/>
              </w:rPr>
              <w:t>Mismo presupuesto E, mismo criterio de factibilidad y mismas métricas.</w:t>
            </w:r>
          </w:p>
        </w:tc>
      </w:tr>
      <w:tr>
        <w:tc>
          <w:tcPr>
            <w:tcW w:type="dxa" w:w="2448"/>
            <w:tcMar>
              <w:top w:w="80" w:type="dxa"/>
              <w:start w:w="120" w:type="dxa"/>
              <w:bottom w:w="80" w:type="dxa"/>
              <w:end w:w="120" w:type="dxa"/>
            </w:tcMar>
            <w:vAlign w:val="center"/>
          </w:tcPr>
          <w:p>
            <w:pPr>
              <w:spacing w:after="40"/>
            </w:pPr>
            <w:r>
              <w:rPr>
                <w:sz w:val="18"/>
              </w:rPr>
              <w:t>MOEA</w:t>
            </w:r>
          </w:p>
        </w:tc>
        <w:tc>
          <w:tcPr>
            <w:tcW w:type="dxa" w:w="4320"/>
            <w:tcMar>
              <w:top w:w="80" w:type="dxa"/>
              <w:start w:w="120" w:type="dxa"/>
              <w:bottom w:w="80" w:type="dxa"/>
              <w:end w:w="120" w:type="dxa"/>
            </w:tcMar>
            <w:vAlign w:val="center"/>
          </w:tcPr>
          <w:p>
            <w:pPr>
              <w:spacing w:after="40"/>
            </w:pPr>
            <w:r>
              <w:rPr>
                <w:sz w:val="18"/>
              </w:rPr>
              <w:t>Cruza y muta subconjuntos; conserva archivo de no dominados.</w:t>
            </w:r>
          </w:p>
        </w:tc>
        <w:tc>
          <w:tcPr>
            <w:tcW w:type="dxa" w:w="2592"/>
            <w:tcMar>
              <w:top w:w="80" w:type="dxa"/>
              <w:start w:w="120" w:type="dxa"/>
              <w:bottom w:w="80" w:type="dxa"/>
              <w:end w:w="120" w:type="dxa"/>
            </w:tcMar>
            <w:vAlign w:val="center"/>
          </w:tcPr>
          <w:p>
            <w:pPr>
              <w:spacing w:after="40"/>
            </w:pPr>
            <w:r>
              <w:rPr>
                <w:sz w:val="18"/>
              </w:rPr>
              <w:t>Mismo presupuesto E, mismo criterio de factibilidad y mismas métricas.</w:t>
            </w:r>
          </w:p>
        </w:tc>
      </w:tr>
      <w:tr>
        <w:tc>
          <w:tcPr>
            <w:tcW w:type="dxa" w:w="2448"/>
            <w:tcMar>
              <w:top w:w="80" w:type="dxa"/>
              <w:start w:w="120" w:type="dxa"/>
              <w:bottom w:w="80" w:type="dxa"/>
              <w:end w:w="120" w:type="dxa"/>
            </w:tcMar>
            <w:vAlign w:val="center"/>
          </w:tcPr>
          <w:p>
            <w:pPr>
              <w:spacing w:after="40"/>
            </w:pPr>
            <w:r>
              <w:rPr>
                <w:sz w:val="18"/>
              </w:rPr>
              <w:t>MOSA</w:t>
            </w:r>
          </w:p>
        </w:tc>
        <w:tc>
          <w:tcPr>
            <w:tcW w:type="dxa" w:w="4320"/>
            <w:tcMar>
              <w:top w:w="80" w:type="dxa"/>
              <w:start w:w="120" w:type="dxa"/>
              <w:bottom w:w="80" w:type="dxa"/>
              <w:end w:w="120" w:type="dxa"/>
            </w:tcMar>
            <w:vAlign w:val="center"/>
          </w:tcPr>
          <w:p>
            <w:pPr>
              <w:spacing w:after="40"/>
            </w:pPr>
            <w:r>
              <w:rPr>
                <w:sz w:val="18"/>
              </w:rPr>
              <w:t>Recocido multiobjetivo con aceptación por dominancia y temperatura.</w:t>
            </w:r>
          </w:p>
        </w:tc>
        <w:tc>
          <w:tcPr>
            <w:tcW w:type="dxa" w:w="2592"/>
            <w:tcMar>
              <w:top w:w="80" w:type="dxa"/>
              <w:start w:w="120" w:type="dxa"/>
              <w:bottom w:w="80" w:type="dxa"/>
              <w:end w:w="120" w:type="dxa"/>
            </w:tcMar>
            <w:vAlign w:val="center"/>
          </w:tcPr>
          <w:p>
            <w:pPr>
              <w:spacing w:after="40"/>
            </w:pPr>
            <w:r>
              <w:rPr>
                <w:sz w:val="18"/>
              </w:rPr>
              <w:t>Mismo presupuesto E, mismo criterio de factibilidad y mismas métricas.</w:t>
            </w:r>
          </w:p>
        </w:tc>
      </w:tr>
      <w:tr>
        <w:tc>
          <w:tcPr>
            <w:tcW w:type="dxa" w:w="2448"/>
            <w:tcMar>
              <w:top w:w="80" w:type="dxa"/>
              <w:start w:w="120" w:type="dxa"/>
              <w:bottom w:w="80" w:type="dxa"/>
              <w:end w:w="120" w:type="dxa"/>
            </w:tcMar>
            <w:vAlign w:val="center"/>
          </w:tcPr>
          <w:p>
            <w:pPr>
              <w:spacing w:after="40"/>
            </w:pPr>
            <w:r>
              <w:rPr>
                <w:sz w:val="18"/>
              </w:rPr>
              <w:t>MMC-MO</w:t>
            </w:r>
          </w:p>
        </w:tc>
        <w:tc>
          <w:tcPr>
            <w:tcW w:type="dxa" w:w="4320"/>
            <w:tcMar>
              <w:top w:w="80" w:type="dxa"/>
              <w:start w:w="120" w:type="dxa"/>
              <w:bottom w:w="80" w:type="dxa"/>
              <w:end w:w="120" w:type="dxa"/>
            </w:tcMar>
            <w:vAlign w:val="center"/>
          </w:tcPr>
          <w:p>
            <w:pPr>
              <w:spacing w:after="40"/>
            </w:pPr>
            <w:r>
              <w:rPr>
                <w:sz w:val="18"/>
              </w:rPr>
              <w:t>Compositores modifican arreglos de nodos guiados por memoria LP-Pareto.</w:t>
            </w:r>
          </w:p>
        </w:tc>
        <w:tc>
          <w:tcPr>
            <w:tcW w:type="dxa" w:w="2592"/>
            <w:tcMar>
              <w:top w:w="80" w:type="dxa"/>
              <w:start w:w="120" w:type="dxa"/>
              <w:bottom w:w="80" w:type="dxa"/>
              <w:end w:w="120" w:type="dxa"/>
            </w:tcMar>
            <w:vAlign w:val="center"/>
          </w:tcPr>
          <w:p>
            <w:pPr>
              <w:spacing w:after="40"/>
            </w:pPr>
            <w:r>
              <w:rPr>
                <w:sz w:val="18"/>
              </w:rPr>
              <w:t>Mismo presupuesto E, mismo criterio de factibilidad y mismas métricas.</w:t>
            </w:r>
          </w:p>
        </w:tc>
      </w:tr>
    </w:tbl>
    <w:p>
      <w:r>
        <w:t>Las métricas comunes son: hipervolumen normalizado aproximado, número de puntos no dominados globales, distancia generacional inversa (IGD) contra el frente global, spacing como uniformidad local y dispersión/extensión del frente en el espacio u1,u2,u3.</w:t>
      </w:r>
    </w:p>
    <w:p>
      <w:pPr>
        <w:pStyle w:val="Heading1"/>
      </w:pPr>
      <w:r>
        <w:t>7. Adaptación MMC-MO con guía PL</w:t>
      </w:r>
    </w:p>
    <w:p>
      <w:r>
        <w:t>El MMC-MO no resuelve relajaciones lineales en cada iteración. Para cada instancia del problema, resuelve una sola vez las relajaciones monoobjetivo de u1=1-f1, u2=f2, u3=1-f3 y un punto balanceado. Las soluciones fraccionales se redondean y forman la guía inicial de la sociedad de compositores.</w:t>
      </w:r>
    </w:p>
    <w:p>
      <w:pPr>
        <w:spacing w:before="40" w:after="120"/>
        <w:ind w:left="360"/>
      </w:pPr>
      <w:r>
        <w:rPr>
          <w:rFonts w:ascii="Courier New" w:hAnsi="Courier New"/>
          <w:sz w:val="18"/>
        </w:rPr>
        <w:t>M_0 = { C^LP_u1, C^LP_u2, C^LP_u3, C^LP_bal }</w:t>
      </w:r>
    </w:p>
    <w:p>
      <w:r>
        <w:t>Durante la búsqueda, la guía se actualiza con soluciones no dominadas encontradas por los compositores, sin volver a resolver PL.</w:t>
      </w:r>
    </w:p>
    <w:p>
      <w:pPr>
        <w:spacing w:before="40" w:after="120"/>
        <w:ind w:left="360"/>
      </w:pPr>
      <w:r>
        <w:rPr>
          <w:rFonts w:ascii="Courier New" w:hAnsi="Courier New"/>
          <w:sz w:val="18"/>
        </w:rPr>
        <w:t>M_{t+1} = ND(M_t union P_t)</w:t>
      </w:r>
    </w:p>
    <w:p>
      <w:r>
        <w:t>La comparación usa el criterio de factibilidad: entre factibles se aplica Pareto; entre factible e infactible se elige la factible; entre infactibles se conserva la de menor violación total.</w:t>
      </w:r>
    </w:p>
    <w:p>
      <w:pPr>
        <w:pStyle w:val="Heading1"/>
      </w:pPr>
      <w:r>
        <w:t>8. Salidas y auditoría</w:t>
      </w:r>
    </w:p>
    <w:p>
      <w:pPr>
        <w:pStyle w:val="ListBullet"/>
      </w:pPr>
      <w:r>
        <w:t>JSON/JSONL incremental, más archivos por año para evitar pérdida por cierres o timeouts.</w:t>
      </w:r>
    </w:p>
    <w:p>
      <w:pPr>
        <w:pStyle w:val="ListBullet"/>
      </w:pPr>
      <w:r>
        <w:t>Tablas por año, fuente, tipo de fuente, idioma, región y estado de descarga.</w:t>
      </w:r>
    </w:p>
    <w:p>
      <w:pPr>
        <w:pStyle w:val="ListBullet"/>
      </w:pPr>
      <w:r>
        <w:t>N-gramas, redes semánticas, módulos semánticos Louvain/alternativas locales y grafo de conocimiento.</w:t>
      </w:r>
    </w:p>
    <w:p>
      <w:pPr>
        <w:pStyle w:val="ListBullet"/>
      </w:pPr>
      <w:r>
        <w:t>Actores candidatos con validación humana persistente.</w:t>
      </w:r>
    </w:p>
    <w:p>
      <w:pPr>
        <w:pStyle w:val="ListBullet"/>
      </w:pPr>
      <w:r>
        <w:t>Frentes Pareto, hipervolumen aproximado, superficie empírica y comparación de métodos.</w:t>
      </w:r>
    </w:p>
    <w:p>
      <w:pPr>
        <w:pStyle w:val="Heading1"/>
      </w:pPr>
      <w:r>
        <w:t>9. Limitaciones publicables</w:t>
      </w:r>
    </w:p>
    <w:p>
      <w:r>
        <w:t>Crossref, OpenAlex, GDELT, Google News RSS y Reddit no son universos completos; son mecanismos de muestreo. Toda publicación debe reportar consulta, variantes, años, región, fuentes activas, exclusiones, tasa de errores de descarga, proporción ok/ok_partial y una auditoría manual de calidad textual y actores.</w:t>
      </w:r>
    </w:p>
    <w:p>
      <w:r>
        <w:br w:type="page"/>
      </w:r>
    </w:p>
    <w:p>
      <w:pPr>
        <w:pStyle w:val="Heading1"/>
      </w:pPr>
      <w:r>
        <w:t>Evidencia disponible y requisitos de análisis — 6 de octubre de 2026</w:t>
      </w:r>
    </w:p>
    <w:p>
      <w:r>
        <w:t>Autoría, fechas y fuente se buscan, pero no se garantiza recuperarlas. Cada campo conserva valor, evidencia, método y estado: explícito, inferido, buscado y no encontrado, no evaluable, no aplica o contradictorio.</w:t>
      </w:r>
    </w:p>
    <w:p>
      <w:r>
        <w:t>Publicación, actualización y consulta son fechas distintas. No se completan componentes ni se usa el año de búsqueda como publicación. Un enlace PDF no acredita texto completo recuperado.</w:t>
      </w:r>
    </w:p>
    <w:p>
      <w:r>
        <w:t>Un documento sin autor o fecha sigue disponible para los análisis cuyos requisitos cumpla. Se reportan utilizables/total, exclusiones y cobertura por tipo de fuente. La cobertura no es representatividad.</w:t>
      </w:r>
    </w:p>
    <w:p>
      <w:r>
        <w:t>La matriz documento–concepto distingue presencia revisada (1), ausencia explícitamente revisada (0) y dato desconocido (faltante). Las proporciones por fuente usan denominadores revisados para cada concepto. Apoyo, rechazo y ambivalencia permanecen separados.</w:t>
      </w:r>
    </w:p>
    <w:p>
      <w:r>
        <w:t>Afirmaciones y relaciones requieren interpretación revisada y cita literal. La causalidad atribuida no es un efecto causal demostrado. Los conteos temporales usan la intersección revisada y fechada. Los módulos heurísticos anteriores generan candidatos, no conclusiones sociales validadas.</w:t>
      </w:r>
    </w:p>
    <w:p>
      <w:r>
        <w:t>Pseudocódigo: recuperar procedencia y texto; buscar metadatos; conservar estados y conflictos; comprobar requisitos por análisis; validar citas; construir matrices descriptivas; exportar cobertura y limitaciones. El procedimiento ejecutable está en EVIDENCIA_Y_MODELOS.md.</w:t>
      </w:r>
    </w:p>
    <w:p>
      <w:r>
        <w:t>Identidad y fusión de evidencia usan el mismo contrato de corpus en interfaz y comandos. Títulos similares y falta de detección léxica no acreditan identidad documental ni silencio intencional. El informe de auditoría integral documenta los límites del piloto.</w:t>
      </w:r>
    </w:p>
    <w:p>
      <w:r>
        <w:t>El contrato v2 separa documentos, versiones y recuperaciones; incorpora etapas reanudables, reintentos limitados, caché y almacenamiento transaccional. El procesamiento de corpus guardados no simula nuevas descargas ni revisión humana. La especificación y pseudocódigo están en ARQUITECTURA_REGISTROS_V2.md.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