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The Tattoo as Narrative Archive:</w:t>
        <w:br/>
        <w:t>a situated reading of digital sources with a local system</w:t>
      </w:r>
    </w:p>
    <w:p>
      <w:pPr>
        <w:pStyle w:val="Heading1"/>
      </w:pPr>
      <w:r>
        <w:t>Abstract</w:t>
      </w:r>
    </w:p>
    <w:p>
      <w:r>
        <w:t>The tattoo can be read as a bodily archive, an aesthetic mark, an affective memory, a visual craft, and an object of social dispute. This document presents a local procedure for building a traceable narrative corpus without sending texts to external services. The guiding case is tattoo, treated as a field of meanings: body, identity, craft, aesthetics, health, regulation, memory, and stigma.</w:t>
      </w:r>
    </w:p>
    <w:p>
      <w:pPr>
        <w:pStyle w:val="Heading1"/>
      </w:pPr>
      <w:r>
        <w:t>Cultural and methodological problem</w:t>
      </w:r>
    </w:p>
    <w:p>
      <w:r>
        <w:t>A social narrative does not appear in only one kind of document. It may emerge in everyday conversation, circulate through journalism, be translated into institutional language, and later become stabilized in academic research. The question is not what the Internet says about tattoos, but how different discursive layers produce, move, or dispute meanings around tattooing in a defined period and region.</w:t>
      </w:r>
    </w:p>
    <w:p>
      <w:pPr>
        <w:pStyle w:val="Heading1"/>
      </w:pPr>
      <w:r>
        <w:t>Interpretive phases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E6E6E6"/>
          </w:tcPr>
          <w:p>
            <w:r/>
            <w:r>
              <w:rPr>
                <w:b/>
                <w:sz w:val="19"/>
              </w:rPr>
              <w:t>Phase</w:t>
            </w:r>
          </w:p>
        </w:tc>
        <w:tc>
          <w:tcPr>
            <w:tcW w:type="dxa" w:w="3384"/>
            <w:vAlign w:val="center"/>
            <w:shd w:fill="E6E6E6"/>
          </w:tcPr>
          <w:p>
            <w:r/>
            <w:r>
              <w:rPr>
                <w:b/>
                <w:sz w:val="19"/>
              </w:rPr>
              <w:t>What is done</w:t>
            </w:r>
          </w:p>
        </w:tc>
        <w:tc>
          <w:tcPr>
            <w:tcW w:type="dxa" w:w="3384"/>
            <w:vAlign w:val="center"/>
            <w:shd w:fill="E6E6E6"/>
          </w:tcPr>
          <w:p>
            <w:r/>
            <w:r>
              <w:rPr>
                <w:b/>
                <w:sz w:val="19"/>
              </w:rPr>
              <w:t>Why it matters</w:t>
            </w:r>
          </w:p>
        </w:tc>
      </w:tr>
      <w:tr>
        <w:tc>
          <w:tcPr>
            <w:tcW w:type="dxa" w:w="1944"/>
            <w:vAlign w:val="center"/>
          </w:tcPr>
          <w:p>
            <w:r/>
            <w:r>
              <w:rPr>
                <w:b w:val="0"/>
                <w:sz w:val="19"/>
              </w:rPr>
              <w:t>Situating the field</w:t>
            </w:r>
          </w:p>
        </w:tc>
        <w:tc>
          <w:tcPr>
            <w:tcW w:type="dxa" w:w="3384"/>
            <w:vAlign w:val="center"/>
          </w:tcPr>
          <w:p>
            <w:r/>
            <w:r>
              <w:rPr>
                <w:b w:val="0"/>
                <w:sz w:val="19"/>
              </w:rPr>
              <w:t>Tattooing is recognized as bodily inscription, visual practice, and social narrative.</w:t>
            </w:r>
          </w:p>
        </w:tc>
        <w:tc>
          <w:tcPr>
            <w:tcW w:type="dxa" w:w="3384"/>
            <w:vAlign w:val="center"/>
          </w:tcPr>
          <w:p>
            <w:r/>
            <w:r>
              <w:rPr>
                <w:b w:val="0"/>
                <w:sz w:val="19"/>
              </w:rPr>
              <w:t>The cultural problem is framed before it becomes a digital search.</w:t>
            </w:r>
          </w:p>
        </w:tc>
      </w:tr>
      <w:tr>
        <w:tc>
          <w:tcPr>
            <w:tcW w:type="dxa" w:w="1944"/>
            <w:vAlign w:val="center"/>
          </w:tcPr>
          <w:p>
            <w:r/>
            <w:r>
              <w:rPr>
                <w:b w:val="0"/>
                <w:sz w:val="19"/>
              </w:rPr>
              <w:t>Delimiting</w:t>
            </w:r>
          </w:p>
        </w:tc>
        <w:tc>
          <w:tcPr>
            <w:tcW w:type="dxa" w:w="3384"/>
            <w:vAlign w:val="center"/>
          </w:tcPr>
          <w:p>
            <w:r/>
            <w:r>
              <w:rPr>
                <w:b w:val="0"/>
                <w:sz w:val="19"/>
              </w:rPr>
              <w:t>Region, period, and meaning rubrics are defined: identity, craft, health, memory, design.</w:t>
            </w:r>
          </w:p>
        </w:tc>
        <w:tc>
          <w:tcPr>
            <w:tcW w:type="dxa" w:w="3384"/>
            <w:vAlign w:val="center"/>
          </w:tcPr>
          <w:p>
            <w:r/>
            <w:r>
              <w:rPr>
                <w:b w:val="0"/>
                <w:sz w:val="19"/>
              </w:rPr>
              <w:t>Different meanings are not collapsed under one term.</w:t>
            </w:r>
          </w:p>
        </w:tc>
      </w:tr>
      <w:tr>
        <w:tc>
          <w:tcPr>
            <w:tcW w:type="dxa" w:w="1944"/>
            <w:vAlign w:val="center"/>
          </w:tcPr>
          <w:p>
            <w:r/>
            <w:r>
              <w:rPr>
                <w:b w:val="0"/>
                <w:sz w:val="19"/>
              </w:rPr>
              <w:t>Gathering voices</w:t>
            </w:r>
          </w:p>
        </w:tc>
        <w:tc>
          <w:tcPr>
            <w:tcW w:type="dxa" w:w="3384"/>
            <w:vAlign w:val="center"/>
          </w:tcPr>
          <w:p>
            <w:r/>
            <w:r>
              <w:rPr>
                <w:b w:val="0"/>
                <w:sz w:val="19"/>
              </w:rPr>
              <w:t>Sources are collected by layer: press, forums, articles, and reports.</w:t>
            </w:r>
          </w:p>
        </w:tc>
        <w:tc>
          <w:tcPr>
            <w:tcW w:type="dxa" w:w="3384"/>
            <w:vAlign w:val="center"/>
          </w:tcPr>
          <w:p>
            <w:r/>
            <w:r>
              <w:rPr>
                <w:b w:val="0"/>
                <w:sz w:val="19"/>
              </w:rPr>
              <w:t>Public conversation, journalism, research, and institutional documents remain distinguishable.</w:t>
            </w:r>
          </w:p>
        </w:tc>
      </w:tr>
      <w:tr>
        <w:tc>
          <w:tcPr>
            <w:tcW w:type="dxa" w:w="1944"/>
            <w:vAlign w:val="center"/>
          </w:tcPr>
          <w:p>
            <w:r/>
            <w:r>
              <w:rPr>
                <w:b w:val="0"/>
                <w:sz w:val="19"/>
              </w:rPr>
              <w:t>Caring for the corpus</w:t>
            </w:r>
          </w:p>
        </w:tc>
        <w:tc>
          <w:tcPr>
            <w:tcW w:type="dxa" w:w="3384"/>
            <w:vAlign w:val="center"/>
          </w:tcPr>
          <w:p>
            <w:r/>
            <w:r>
              <w:rPr>
                <w:b w:val="0"/>
                <w:sz w:val="19"/>
              </w:rPr>
              <w:t>Duplicates, menus, advertising, noise, and homonyms are removed.</w:t>
            </w:r>
          </w:p>
        </w:tc>
        <w:tc>
          <w:tcPr>
            <w:tcW w:type="dxa" w:w="3384"/>
            <w:vAlign w:val="center"/>
          </w:tcPr>
          <w:p>
            <w:r/>
            <w:r>
              <w:rPr>
                <w:b w:val="0"/>
                <w:sz w:val="19"/>
              </w:rPr>
              <w:t>Web noise is prevented from becoming interpretive evidence.</w:t>
            </w:r>
          </w:p>
        </w:tc>
      </w:tr>
      <w:tr>
        <w:tc>
          <w:tcPr>
            <w:tcW w:type="dxa" w:w="1944"/>
            <w:vAlign w:val="center"/>
          </w:tcPr>
          <w:p>
            <w:r/>
            <w:r>
              <w:rPr>
                <w:b w:val="0"/>
                <w:sz w:val="19"/>
              </w:rPr>
              <w:t>Reading relations</w:t>
            </w:r>
          </w:p>
        </w:tc>
        <w:tc>
          <w:tcPr>
            <w:tcW w:type="dxa" w:w="3384"/>
            <w:vAlign w:val="center"/>
          </w:tcPr>
          <w:p>
            <w:r/>
            <w:r>
              <w:rPr>
                <w:b w:val="0"/>
                <w:sz w:val="19"/>
              </w:rPr>
              <w:t>Expressions, actors, narrative moments, sources, and lexical tonality are observed.</w:t>
            </w:r>
          </w:p>
        </w:tc>
        <w:tc>
          <w:tcPr>
            <w:tcW w:type="dxa" w:w="3384"/>
            <w:vAlign w:val="center"/>
          </w:tcPr>
          <w:p>
            <w:r/>
            <w:r>
              <w:rPr>
                <w:b w:val="0"/>
                <w:sz w:val="19"/>
              </w:rPr>
              <w:t>The system produces clues and maps of meaning for critical reading.</w:t>
            </w:r>
          </w:p>
        </w:tc>
      </w:tr>
      <w:tr>
        <w:tc>
          <w:tcPr>
            <w:tcW w:type="dxa" w:w="1944"/>
            <w:vAlign w:val="center"/>
          </w:tcPr>
          <w:p>
            <w:r/>
            <w:r>
              <w:rPr>
                <w:b w:val="0"/>
                <w:sz w:val="19"/>
              </w:rPr>
              <w:t>Critical synthesis</w:t>
            </w:r>
          </w:p>
        </w:tc>
        <w:tc>
          <w:tcPr>
            <w:tcW w:type="dxa" w:w="3384"/>
            <w:vAlign w:val="center"/>
          </w:tcPr>
          <w:p>
            <w:r/>
            <w:r>
              <w:rPr>
                <w:b w:val="0"/>
                <w:sz w:val="19"/>
              </w:rPr>
              <w:t>Relevant nodes are proposed and checked against textual examples.</w:t>
            </w:r>
          </w:p>
        </w:tc>
        <w:tc>
          <w:tcPr>
            <w:tcW w:type="dxa" w:w="3384"/>
            <w:vAlign w:val="center"/>
          </w:tcPr>
          <w:p>
            <w:r/>
            <w:r>
              <w:rPr>
                <w:b w:val="0"/>
                <w:sz w:val="19"/>
              </w:rPr>
              <w:t>The algorithm is not treated as the final interpretation.</w:t>
            </w:r>
          </w:p>
        </w:tc>
      </w:tr>
    </w:tbl>
    <w:p/>
    <w:tbl>
      <w:tblPr>
        <w:tblStyle w:val="TableGrid"/>
        <w:tblW w:type="auto" w:w="0"/>
        <w:jc w:val="center"/>
        <w:tblLook w:firstColumn="1" w:firstRow="1" w:lastColumn="0" w:lastRow="0" w:noHBand="0" w:noVBand="1" w:val="04A0"/>
      </w:tblPr>
      <w:tblGrid>
        <w:gridCol w:w="9360"/>
      </w:tblGrid>
      <w:tr>
        <w:tc>
          <w:tcPr>
            <w:tcW w:type="dxa" w:w="9360"/>
            <w:shd w:fill="F2F2F2"/>
          </w:tcPr>
          <w:p>
            <w:r>
              <w:rPr>
                <w:b/>
                <w:sz w:val="20"/>
              </w:rPr>
              <w:t>Figure 1. Interpretive itinerary</w:t>
            </w:r>
            <w:r>
              <w:rPr>
                <w:sz w:val="19"/>
              </w:rPr>
              <w:br/>
              <w:t>Situate the field → gather voices → care for the corpus → read relations. Human review adjusts rubrics, exclusions, and interpretation.</w:t>
            </w:r>
          </w:p>
        </w:tc>
      </w:tr>
    </w:tbl>
    <w:p/>
    <w:p>
      <w:pPr>
        <w:pStyle w:val="Heading1"/>
      </w:pPr>
      <w:r>
        <w:t>Guiding case: tattooing</w:t>
      </w:r>
    </w:p>
    <w:tbl>
      <w:tblPr>
        <w:tblStyle w:val="TableGrid"/>
        <w:tblW w:type="auto" w:w="0"/>
        <w:jc w:val="center"/>
        <w:tblLook w:firstColumn="1" w:firstRow="1" w:lastColumn="0" w:lastRow="0" w:noHBand="0" w:noVBand="1" w:val="04A0"/>
      </w:tblPr>
      <w:tblGrid>
        <w:gridCol w:w="4680"/>
        <w:gridCol w:w="4680"/>
      </w:tblGrid>
      <w:tr>
        <w:tc>
          <w:tcPr>
            <w:tcW w:type="dxa" w:w="2232"/>
            <w:vAlign w:val="center"/>
            <w:shd w:fill="E6E6E6"/>
          </w:tcPr>
          <w:p>
            <w:r/>
            <w:r>
              <w:rPr>
                <w:b/>
                <w:sz w:val="19"/>
              </w:rPr>
              <w:t>Rubric</w:t>
            </w:r>
          </w:p>
        </w:tc>
        <w:tc>
          <w:tcPr>
            <w:tcW w:type="dxa" w:w="6480"/>
            <w:vAlign w:val="center"/>
            <w:shd w:fill="E6E6E6"/>
          </w:tcPr>
          <w:p>
            <w:r/>
            <w:r>
              <w:rPr>
                <w:b/>
                <w:sz w:val="19"/>
              </w:rPr>
              <w:t>Search variants</w:t>
            </w:r>
          </w:p>
        </w:tc>
      </w:tr>
      <w:tr>
        <w:tc>
          <w:tcPr>
            <w:tcW w:type="dxa" w:w="2232"/>
            <w:vAlign w:val="center"/>
          </w:tcPr>
          <w:p>
            <w:r/>
            <w:r>
              <w:rPr>
                <w:b w:val="0"/>
                <w:sz w:val="19"/>
              </w:rPr>
              <w:t>Core terms</w:t>
            </w:r>
          </w:p>
        </w:tc>
        <w:tc>
          <w:tcPr>
            <w:tcW w:type="dxa" w:w="6480"/>
            <w:vAlign w:val="center"/>
          </w:tcPr>
          <w:p>
            <w:r/>
            <w:r>
              <w:rPr>
                <w:b w:val="0"/>
                <w:sz w:val="19"/>
              </w:rPr>
              <w:t>tattoo, tattoos, tatuaje, tatuajes, body art</w:t>
            </w:r>
          </w:p>
        </w:tc>
      </w:tr>
      <w:tr>
        <w:tc>
          <w:tcPr>
            <w:tcW w:type="dxa" w:w="2232"/>
            <w:vAlign w:val="center"/>
          </w:tcPr>
          <w:p>
            <w:r/>
            <w:r>
              <w:rPr>
                <w:b w:val="0"/>
                <w:sz w:val="19"/>
              </w:rPr>
              <w:t>Craft and industry</w:t>
            </w:r>
          </w:p>
        </w:tc>
        <w:tc>
          <w:tcPr>
            <w:tcW w:type="dxa" w:w="6480"/>
            <w:vAlign w:val="center"/>
          </w:tcPr>
          <w:p>
            <w:r/>
            <w:r>
              <w:rPr>
                <w:b w:val="0"/>
                <w:sz w:val="19"/>
              </w:rPr>
              <w:t>tattoo artist, tattoo studio, tatuador, tatuadora, artist of tattooing</w:t>
            </w:r>
          </w:p>
        </w:tc>
      </w:tr>
      <w:tr>
        <w:tc>
          <w:tcPr>
            <w:tcW w:type="dxa" w:w="2232"/>
            <w:vAlign w:val="center"/>
          </w:tcPr>
          <w:p>
            <w:r/>
            <w:r>
              <w:rPr>
                <w:b w:val="0"/>
                <w:sz w:val="19"/>
              </w:rPr>
              <w:t>Identity and memory</w:t>
            </w:r>
          </w:p>
        </w:tc>
        <w:tc>
          <w:tcPr>
            <w:tcW w:type="dxa" w:w="6480"/>
            <w:vAlign w:val="center"/>
          </w:tcPr>
          <w:p>
            <w:r/>
            <w:r>
              <w:rPr>
                <w:b w:val="0"/>
                <w:sz w:val="19"/>
              </w:rPr>
              <w:t>tattoo meaning, tattoo and identity, tattoo and memory, religious tattoo</w:t>
            </w:r>
          </w:p>
        </w:tc>
      </w:tr>
      <w:tr>
        <w:tc>
          <w:tcPr>
            <w:tcW w:type="dxa" w:w="2232"/>
            <w:vAlign w:val="center"/>
          </w:tcPr>
          <w:p>
            <w:r/>
            <w:r>
              <w:rPr>
                <w:b w:val="0"/>
                <w:sz w:val="19"/>
              </w:rPr>
              <w:t>Society and work</w:t>
            </w:r>
          </w:p>
        </w:tc>
        <w:tc>
          <w:tcPr>
            <w:tcW w:type="dxa" w:w="6480"/>
            <w:vAlign w:val="center"/>
          </w:tcPr>
          <w:p>
            <w:r/>
            <w:r>
              <w:rPr>
                <w:b w:val="0"/>
                <w:sz w:val="19"/>
              </w:rPr>
              <w:t>tattoo and youth, tattoo and employment, tattoo discrimination, tattoo and gender</w:t>
            </w:r>
          </w:p>
        </w:tc>
      </w:tr>
      <w:tr>
        <w:tc>
          <w:tcPr>
            <w:tcW w:type="dxa" w:w="2232"/>
            <w:vAlign w:val="center"/>
          </w:tcPr>
          <w:p>
            <w:r/>
            <w:r>
              <w:rPr>
                <w:b w:val="0"/>
                <w:sz w:val="19"/>
              </w:rPr>
              <w:t>Health and regulation</w:t>
            </w:r>
          </w:p>
        </w:tc>
        <w:tc>
          <w:tcPr>
            <w:tcW w:type="dxa" w:w="6480"/>
            <w:vAlign w:val="center"/>
          </w:tcPr>
          <w:p>
            <w:r/>
            <w:r>
              <w:rPr>
                <w:b w:val="0"/>
                <w:sz w:val="19"/>
              </w:rPr>
              <w:t>tattoo health, tattoo inks, infection, sanitary regulation</w:t>
            </w:r>
          </w:p>
        </w:tc>
      </w:tr>
      <w:tr>
        <w:tc>
          <w:tcPr>
            <w:tcW w:type="dxa" w:w="2232"/>
            <w:vAlign w:val="center"/>
          </w:tcPr>
          <w:p>
            <w:r/>
            <w:r>
              <w:rPr>
                <w:b w:val="0"/>
                <w:sz w:val="19"/>
              </w:rPr>
              <w:t>Aesthetics and design</w:t>
            </w:r>
          </w:p>
        </w:tc>
        <w:tc>
          <w:tcPr>
            <w:tcW w:type="dxa" w:w="6480"/>
            <w:vAlign w:val="center"/>
          </w:tcPr>
          <w:p>
            <w:r/>
            <w:r>
              <w:rPr>
                <w:b w:val="0"/>
                <w:sz w:val="19"/>
              </w:rPr>
              <w:t>tattoo design, traditional tattoo, Mexican tattoo, body ink</w:t>
            </w:r>
          </w:p>
        </w:tc>
      </w:tr>
    </w:tbl>
    <w:p/>
    <w:p>
      <w:r>
        <w:t>Exclusions protect the research question: cigar, tobacco, robusto, or colonoscopic tattooing should be removed when the interest is tattooing as cultural practice.</w:t>
      </w:r>
    </w:p>
    <w:tbl>
      <w:tblPr>
        <w:tblStyle w:val="TableGrid"/>
        <w:tblW w:type="auto" w:w="0"/>
        <w:jc w:val="center"/>
        <w:tblLook w:firstColumn="1" w:firstRow="1" w:lastColumn="0" w:lastRow="0" w:noHBand="0" w:noVBand="1" w:val="04A0"/>
      </w:tblPr>
      <w:tblGrid>
        <w:gridCol w:w="9360"/>
      </w:tblGrid>
      <w:tr>
        <w:tc>
          <w:tcPr>
            <w:tcW w:type="dxa" w:w="9360"/>
            <w:shd w:fill="F2F2F2"/>
          </w:tcPr>
          <w:p>
            <w:r>
              <w:rPr>
                <w:b/>
                <w:sz w:val="20"/>
              </w:rPr>
              <w:t>Figure 2. Corpus design</w:t>
            </w:r>
            <w:r>
              <w:rPr>
                <w:sz w:val="19"/>
              </w:rPr>
              <w:br/>
              <w:t>Cultural question → rubrics → years/region → voice layers → text care → assisted reading.</w:t>
            </w:r>
          </w:p>
        </w:tc>
      </w:tr>
    </w:tbl>
    <w:p/>
    <w:p>
      <w:pPr>
        <w:pStyle w:val="Heading1"/>
      </w:pPr>
      <w:r>
        <w:t>Responsible extraction and partial evidence</w:t>
      </w:r>
    </w:p>
    <w:p>
      <w:r>
        <w:t>The sequential run does not search all synonyms at once. It starts with the base term of each rubric and expands only when needed. This reduces saturation of public indexes and preserves which term produced each record.</w:t>
      </w:r>
    </w:p>
    <w:p>
      <w:r>
        <w:t>Extraction respects source limits. Before full-text retrieval, robots.txt is checked. If a page is not allowed, is paywalled, or only exposes a title/summary, the record is stored as ok_partial. Such metadata is a traceable signal, not equivalent to full text.</w:t>
      </w:r>
    </w:p>
    <w:tbl>
      <w:tblPr>
        <w:tblStyle w:val="TableGrid"/>
        <w:tblW w:type="auto" w:w="0"/>
        <w:jc w:val="center"/>
        <w:tblLook w:firstColumn="1" w:firstRow="1" w:lastColumn="0" w:lastRow="0" w:noHBand="0" w:noVBand="1" w:val="04A0"/>
      </w:tblPr>
      <w:tblGrid>
        <w:gridCol w:w="3120"/>
        <w:gridCol w:w="3120"/>
        <w:gridCol w:w="3120"/>
      </w:tblGrid>
      <w:tr>
        <w:tc>
          <w:tcPr>
            <w:tcW w:type="dxa" w:w="1584"/>
            <w:vAlign w:val="center"/>
            <w:shd w:fill="E6E6E6"/>
          </w:tcPr>
          <w:p>
            <w:r/>
            <w:r>
              <w:rPr>
                <w:b/>
                <w:sz w:val="19"/>
              </w:rPr>
              <w:t>Status</w:t>
            </w:r>
          </w:p>
        </w:tc>
        <w:tc>
          <w:tcPr>
            <w:tcW w:type="dxa" w:w="3528"/>
            <w:vAlign w:val="center"/>
            <w:shd w:fill="E6E6E6"/>
          </w:tcPr>
          <w:p>
            <w:r/>
            <w:r>
              <w:rPr>
                <w:b/>
                <w:sz w:val="19"/>
              </w:rPr>
              <w:t>Meaning</w:t>
            </w:r>
          </w:p>
        </w:tc>
        <w:tc>
          <w:tcPr>
            <w:tcW w:type="dxa" w:w="3600"/>
            <w:vAlign w:val="center"/>
            <w:shd w:fill="E6E6E6"/>
          </w:tcPr>
          <w:p>
            <w:r/>
            <w:r>
              <w:rPr>
                <w:b/>
                <w:sz w:val="19"/>
              </w:rPr>
              <w:t>Interpretive use</w:t>
            </w:r>
          </w:p>
        </w:tc>
      </w:tr>
      <w:tr>
        <w:tc>
          <w:tcPr>
            <w:tcW w:type="dxa" w:w="1584"/>
            <w:vAlign w:val="center"/>
          </w:tcPr>
          <w:p>
            <w:r/>
            <w:r>
              <w:rPr>
                <w:b w:val="0"/>
                <w:sz w:val="19"/>
              </w:rPr>
              <w:t>ok</w:t>
            </w:r>
          </w:p>
        </w:tc>
        <w:tc>
          <w:tcPr>
            <w:tcW w:type="dxa" w:w="3528"/>
            <w:vAlign w:val="center"/>
          </w:tcPr>
          <w:p>
            <w:r/>
            <w:r>
              <w:rPr>
                <w:b w:val="0"/>
                <w:sz w:val="19"/>
              </w:rPr>
              <w:t>Sufficient and permitted text for local analysis.</w:t>
            </w:r>
          </w:p>
        </w:tc>
        <w:tc>
          <w:tcPr>
            <w:tcW w:type="dxa" w:w="3600"/>
            <w:vAlign w:val="center"/>
          </w:tcPr>
          <w:p>
            <w:r/>
            <w:r>
              <w:rPr>
                <w:b w:val="0"/>
                <w:sz w:val="19"/>
              </w:rPr>
              <w:t>Can feed n-grams, narrative networks, and close reading.</w:t>
            </w:r>
          </w:p>
        </w:tc>
      </w:tr>
      <w:tr>
        <w:tc>
          <w:tcPr>
            <w:tcW w:type="dxa" w:w="1584"/>
            <w:vAlign w:val="center"/>
          </w:tcPr>
          <w:p>
            <w:r/>
            <w:r>
              <w:rPr>
                <w:b w:val="0"/>
                <w:sz w:val="19"/>
              </w:rPr>
              <w:t>ok_partial</w:t>
            </w:r>
          </w:p>
        </w:tc>
        <w:tc>
          <w:tcPr>
            <w:tcW w:type="dxa" w:w="3528"/>
            <w:vAlign w:val="center"/>
          </w:tcPr>
          <w:p>
            <w:r/>
            <w:r>
              <w:rPr>
                <w:b w:val="0"/>
                <w:sz w:val="19"/>
              </w:rPr>
              <w:t>Title, summary, RSS, or metadata without full body.</w:t>
            </w:r>
          </w:p>
        </w:tc>
        <w:tc>
          <w:tcPr>
            <w:tcW w:type="dxa" w:w="3600"/>
            <w:vAlign w:val="center"/>
          </w:tcPr>
          <w:p>
            <w:r/>
            <w:r>
              <w:rPr>
                <w:b w:val="0"/>
                <w:sz w:val="19"/>
              </w:rPr>
              <w:t>Presence signal; not equivalent to full text.</w:t>
            </w:r>
          </w:p>
        </w:tc>
      </w:tr>
      <w:tr>
        <w:tc>
          <w:tcPr>
            <w:tcW w:type="dxa" w:w="1584"/>
            <w:vAlign w:val="center"/>
          </w:tcPr>
          <w:p>
            <w:r/>
            <w:r>
              <w:rPr>
                <w:b w:val="0"/>
                <w:sz w:val="19"/>
              </w:rPr>
              <w:t>too_short</w:t>
            </w:r>
          </w:p>
        </w:tc>
        <w:tc>
          <w:tcPr>
            <w:tcW w:type="dxa" w:w="3528"/>
            <w:vAlign w:val="center"/>
          </w:tcPr>
          <w:p>
            <w:r/>
            <w:r>
              <w:rPr>
                <w:b w:val="0"/>
                <w:sz w:val="19"/>
              </w:rPr>
              <w:t>Text too brief or inherited.</w:t>
            </w:r>
          </w:p>
        </w:tc>
        <w:tc>
          <w:tcPr>
            <w:tcW w:type="dxa" w:w="3600"/>
            <w:vAlign w:val="center"/>
          </w:tcPr>
          <w:p>
            <w:r/>
            <w:r>
              <w:rPr>
                <w:b w:val="0"/>
                <w:sz w:val="19"/>
              </w:rPr>
              <w:t>Must be reviewed before textual analysis.</w:t>
            </w:r>
          </w:p>
        </w:tc>
      </w:tr>
      <w:tr>
        <w:tc>
          <w:tcPr>
            <w:tcW w:type="dxa" w:w="1584"/>
            <w:vAlign w:val="center"/>
          </w:tcPr>
          <w:p>
            <w:r/>
            <w:r>
              <w:rPr>
                <w:b w:val="0"/>
                <w:sz w:val="19"/>
              </w:rPr>
              <w:t>error/fetch_error</w:t>
            </w:r>
          </w:p>
        </w:tc>
        <w:tc>
          <w:tcPr>
            <w:tcW w:type="dxa" w:w="3528"/>
            <w:vAlign w:val="center"/>
          </w:tcPr>
          <w:p>
            <w:r/>
            <w:r>
              <w:rPr>
                <w:b w:val="0"/>
                <w:sz w:val="19"/>
              </w:rPr>
              <w:t>No usable evidence could be retrieved.</w:t>
            </w:r>
          </w:p>
        </w:tc>
        <w:tc>
          <w:tcPr>
            <w:tcW w:type="dxa" w:w="3600"/>
            <w:vAlign w:val="center"/>
          </w:tcPr>
          <w:p>
            <w:r/>
            <w:r>
              <w:rPr>
                <w:b w:val="0"/>
                <w:sz w:val="19"/>
              </w:rPr>
              <w:t>Counts as a coverage limit.</w:t>
            </w:r>
          </w:p>
        </w:tc>
      </w:tr>
    </w:tbl>
    <w:p/>
    <w:tbl>
      <w:tblPr>
        <w:tblStyle w:val="TableGrid"/>
        <w:tblW w:type="auto" w:w="0"/>
        <w:jc w:val="center"/>
        <w:tblLook w:firstColumn="1" w:firstRow="1" w:lastColumn="0" w:lastRow="0" w:noHBand="0" w:noVBand="1" w:val="04A0"/>
      </w:tblPr>
      <w:tblGrid>
        <w:gridCol w:w="9360"/>
      </w:tblGrid>
      <w:tr>
        <w:tc>
          <w:tcPr>
            <w:tcW w:type="dxa" w:w="9360"/>
            <w:shd w:fill="F2F2F2"/>
          </w:tcPr>
          <w:p>
            <w:r>
              <w:rPr>
                <w:b/>
                <w:sz w:val="20"/>
              </w:rPr>
              <w:t>Figure 3. Source rights and degrees of evidence</w:t>
            </w:r>
            <w:r>
              <w:rPr>
                <w:sz w:val="19"/>
              </w:rPr>
              <w:br/>
              <w:t>Public index → URL/metadata → permission check → full text or ok_partial → local analysis. The system does not bypass paywalls, sessions, CAPTCHAs, or private spaces.</w:t>
            </w:r>
          </w:p>
        </w:tc>
      </w:tr>
    </w:tbl>
    <w:p/>
    <w:p>
      <w:pPr>
        <w:pStyle w:val="Heading1"/>
      </w:pPr>
      <w:r>
        <w:t>Narrative network and lexical tonality</w:t>
      </w:r>
    </w:p>
    <w:p>
      <w:r>
        <w:t>The narrative network is a map. Each text connects actors, ideas, source, year, place, and moments of the story. Lexical tonality is not interpreted as collective emotion: it works as an exploratory indicator of evaluative vocabulary and must always return to textual examples.</w:t>
      </w:r>
    </w:p>
    <w:tbl>
      <w:tblPr>
        <w:tblStyle w:val="TableGrid"/>
        <w:tblW w:type="auto" w:w="0"/>
        <w:jc w:val="center"/>
        <w:tblLook w:firstColumn="1" w:firstRow="1" w:lastColumn="0" w:lastRow="0" w:noHBand="0" w:noVBand="1" w:val="04A0"/>
      </w:tblPr>
      <w:tblGrid>
        <w:gridCol w:w="9360"/>
      </w:tblGrid>
      <w:tr>
        <w:tc>
          <w:tcPr>
            <w:tcW w:type="dxa" w:w="9360"/>
            <w:shd w:fill="F2F2F2"/>
          </w:tcPr>
          <w:p>
            <w:r>
              <w:rPr>
                <w:b/>
                <w:sz w:val="20"/>
              </w:rPr>
              <w:t>Figure 4. Minimal narrative network</w:t>
            </w:r>
            <w:r>
              <w:rPr>
                <w:sz w:val="19"/>
              </w:rPr>
              <w:br/>
              <w:t>Text connected with actor, narrative moment, idea, source, year, and place. Edges record relations such as mentions, publishes, contains, uses, or situates.</w:t>
            </w:r>
          </w:p>
        </w:tc>
      </w:tr>
    </w:tbl>
    <w:p/>
    <w:tbl>
      <w:tblPr>
        <w:tblStyle w:val="TableGrid"/>
        <w:tblW w:type="auto" w:w="0"/>
        <w:jc w:val="center"/>
        <w:tblLook w:firstColumn="1" w:firstRow="1" w:lastColumn="0" w:lastRow="0" w:noHBand="0" w:noVBand="1" w:val="04A0"/>
      </w:tblPr>
      <w:tblGrid>
        <w:gridCol w:w="9360"/>
      </w:tblGrid>
      <w:tr>
        <w:tc>
          <w:tcPr>
            <w:tcW w:type="dxa" w:w="9360"/>
            <w:shd w:fill="F2F2F2"/>
          </w:tcPr>
          <w:p>
            <w:r>
              <w:rPr>
                <w:b/>
                <w:sz w:val="20"/>
              </w:rPr>
              <w:t>Figure 5. Revisable synthesis</w:t>
            </w:r>
            <w:r>
              <w:rPr>
                <w:sz w:val="19"/>
              </w:rPr>
              <w:br/>
              <w:t>Clean corpus → map of relations → relevant nodes → close reading. The algorithm suggests entries; interpretation returns to the corpus.</w:t>
            </w:r>
          </w:p>
        </w:tc>
      </w:tr>
    </w:tbl>
    <w:p/>
    <w:p>
      <w:pPr>
        <w:pStyle w:val="Heading1"/>
      </w:pPr>
      <w:r>
        <w:t>Reproducible export</w:t>
      </w:r>
    </w:p>
    <w:p>
      <w:r>
        <w:t>The local application exports structured evidence with filtered records, provenance, cleaning decisions, source classification, lexical tonality, narrative events, actors, idea groups, and relation maps. For robust publication, a run manifest still needs to consolidate date, parameters, code version, quotas, seeds, and a corpus fingerprint.</w:t>
      </w:r>
    </w:p>
    <w:p>
      <w:pPr>
        <w:pStyle w:val="Heading1"/>
      </w:pPr>
      <w:r>
        <w:t>Limits and biases</w:t>
      </w:r>
    </w:p>
    <w:p>
      <w:r>
        <w:t>The corpus does not represent a society by itself: it represents a situated collection of available traces. It may contain biases of language, social class, digital literacy, urban centrality, source availability, platform moderation, journalistic agenda, and sanitary or institutional overrepresentation. Forums, public Reddit, blogs, and open communities are signals of indexable public conversation; they are not the whole social conversation. Exclusions are also interpretive decisions; they must therefore be registered and justified.</w:t>
      </w:r>
    </w:p>
    <w:p>
      <w:pPr>
        <w:pStyle w:val="Heading1"/>
      </w:pPr>
      <w:r>
        <w:t>Minimal technical note</w:t>
      </w:r>
    </w:p>
    <w:p>
      <w:r>
        <w:t>The selection of relevant nodes can be formalized as coverage over the map of relations. The goal is to find small node sets that preserve high relevance and low structural damage. Algorithmic details remain in an appendix because the main question is interpretive.</w:t>
      </w:r>
    </w:p>
    <w:p>
      <w:r>
        <w:br w:type="page"/>
      </w:r>
    </w:p>
    <w:p>
      <w:pPr>
        <w:pStyle w:val="Heading1"/>
      </w:pPr>
      <w:r>
        <w:t>Available evidence and analysis requirements — October 6, 2026</w:t>
      </w:r>
    </w:p>
    <w:p>
      <w:r>
        <w:t>Authorship, dates and outlets are sought, not guaranteed. Preserve value, evidence, method and state: explicit, inferred, searched but not found, not evaluable, not applicable or conflicting.</w:t>
      </w:r>
    </w:p>
    <w:p>
      <w:r>
        <w:t>Publication, update and consultation dates are distinct. Never fill missing date components or use search year as publication. A PDF link does not establish full-text retrieval.</w:t>
      </w:r>
    </w:p>
    <w:p>
      <w:r>
        <w:t>A document without an author or date remains available for analyses whose requirements it meets. Report eligible/total, exclusion reasons and coverage by source type. Coverage is not representativeness.</w:t>
      </w:r>
    </w:p>
    <w:p>
      <w:r>
        <w:t>Reviewed document–concept matrices distinguish presence (1), explicitly reviewed absence (0) and unknown (missing). Source proportions use concept-specific reviewed denominators. Support, rejection and ambivalence remain separate.</w:t>
      </w:r>
    </w:p>
    <w:p>
      <w:r>
        <w:t>Claims and relationships require reviewed interpretation and a verbatim quotation. Attributed causality is not a causal effect. Temporal counts use the intersection of reviewed and dated documents. Existing heuristic modules produce candidates, not validated social conclusions.</w:t>
      </w:r>
    </w:p>
    <w:p>
      <w:r>
        <w:t>Pseudocode: retrieve provenance and text; seek metadata; preserve states and conflicts; check requirements per analysis; validate quotations; construct descriptive matrices; export coverage and limitations. See EVIDENCIA_Y_MODELOS.md for the executable workflow.</w:t>
      </w:r>
    </w:p>
    <w:p>
      <w:r>
        <w:t>Identity and evidence-preserving merging use the same shared corpus contract in the interface and command line tools. Similar titles and lexical non-detection do not establish document identity or intentional silence. See the integral audit for pilot limits.</w:t>
      </w:r>
    </w:p>
    <w:p>
      <w:r>
        <w:t>The v2 contract separates documents, versions and retrievals; supports resumable stages, bounded source retries, caching and transactional storage. Saved-corpus processing does not simulate new downloads or human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