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40"/>
        </w:rPr>
        <w:t>El tatuaje como archivo narrativo:</w:t>
        <w:br/>
        <w:t>lectura situada de fuentes digitales mediante un sistema local</w:t>
      </w:r>
    </w:p>
    <w:p>
      <w:pPr>
        <w:pStyle w:val="Heading1"/>
      </w:pPr>
      <w:r>
        <w:t>Resumen</w:t>
      </w:r>
    </w:p>
    <w:p>
      <w:r>
        <w:t>El tatuaje puede leerse como archivo corporal, marca estética, memoria afectiva, oficio visual y objeto de disputa social. Este documento presenta un procedimiento local para construir un corpus narrativo trazable sin enviar textos a servicios externos. El ejemplo conductor es el tópico tatuaje, entendido como campo de sentidos: cuerpo, identidad, oficio, estética, salud, regulación, memoria y estigma. El sistema separa rubros, años y capas de fuente; depura textos; registra vacíos; organiza indicios narrativos; construye mapas de relaciones; y propone síntesis revisables para lectura cercana.</w:t>
      </w:r>
    </w:p>
    <w:p>
      <w:pPr>
        <w:pStyle w:val="Heading1"/>
      </w:pPr>
      <w:r>
        <w:t>Problema cultural y metodológico</w:t>
      </w:r>
    </w:p>
    <w:p>
      <w:r>
        <w:t>Una narrativa social no aparece en una sola clase de documento. Puede emerger en conversaciones cotidianas, circular por la prensa, traducirse a lenguaje institucional y estabilizarse después en estudios académicos. La pregunta no es qué dice Internet sobre el tatuaje, sino cómo distintas capas discursivas producen, desplazan o disputan sentidos alrededor del tatuaje en un periodo y región definidos.</w:t>
      </w:r>
    </w:p>
    <w:p>
      <w:pPr>
        <w:pStyle w:val="Heading1"/>
      </w:pPr>
      <w:r>
        <w:t>Fases del procedimiento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vAlign w:val="center"/>
            <w:shd w:fill="E6E6E6"/>
          </w:tcPr>
          <w:p>
            <w:r/>
            <w:r>
              <w:rPr>
                <w:b/>
                <w:sz w:val="19"/>
              </w:rPr>
              <w:t>Fase</w:t>
            </w:r>
          </w:p>
        </w:tc>
        <w:tc>
          <w:tcPr>
            <w:tcW w:type="dxa" w:w="3384"/>
            <w:vAlign w:val="center"/>
            <w:shd w:fill="E6E6E6"/>
          </w:tcPr>
          <w:p>
            <w:r/>
            <w:r>
              <w:rPr>
                <w:b/>
                <w:sz w:val="19"/>
              </w:rPr>
              <w:t>Qué se hace</w:t>
            </w:r>
          </w:p>
        </w:tc>
        <w:tc>
          <w:tcPr>
            <w:tcW w:type="dxa" w:w="3384"/>
            <w:vAlign w:val="center"/>
            <w:shd w:fill="E6E6E6"/>
          </w:tcPr>
          <w:p>
            <w:r/>
            <w:r>
              <w:rPr>
                <w:b/>
                <w:sz w:val="19"/>
              </w:rPr>
              <w:t>Por qué se hace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b w:val="0"/>
                <w:sz w:val="19"/>
              </w:rPr>
              <w:t>Observar el campo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9"/>
              </w:rPr>
              <w:t>Reconocer el tatuaje como inscripción corporal, práctica visual y relato social.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9"/>
              </w:rPr>
              <w:t>Sitúa el problema antes de convertirlo en búsqueda digital.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b w:val="0"/>
                <w:sz w:val="19"/>
              </w:rPr>
              <w:t>Delimitar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9"/>
              </w:rPr>
              <w:t>Definir región, periodo y rubros de sentido: identidad, oficio, salud, memoria, diseño.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9"/>
              </w:rPr>
              <w:t>Evita mezclar sentidos distintos bajo una misma palabra.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b w:val="0"/>
                <w:sz w:val="19"/>
              </w:rPr>
              <w:t>Reunir voces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9"/>
              </w:rPr>
              <w:t>Consultar por capas: prensa, foros, artículos y reportes.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9"/>
              </w:rPr>
              <w:t>Distingue conversación pública, prensa, investigación y documentos institucionales.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b w:val="0"/>
                <w:sz w:val="19"/>
              </w:rPr>
              <w:t>Cuidar el corpus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9"/>
              </w:rPr>
              <w:t>Eliminar duplicados, menús, publicidad, ruido y homónimos.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9"/>
              </w:rPr>
              <w:t>Impide que el ruido web se vuelva resultado interpretativo.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b w:val="0"/>
                <w:sz w:val="19"/>
              </w:rPr>
              <w:t>Interpretar relaciones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9"/>
              </w:rPr>
              <w:t>Observar expresiones, actores, momentos narrativos, fuentes y tonalidad léxica.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9"/>
              </w:rPr>
              <w:t>Produce indicios y mapas de sentido para lectura crítica.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b w:val="0"/>
                <w:sz w:val="19"/>
              </w:rPr>
              <w:t>Síntesis crítica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9"/>
              </w:rPr>
              <w:t>Proponer nodos relevantes y volver a ejemplos textuales.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9"/>
              </w:rPr>
              <w:t>Prepara lectura cercana sin presentar el algoritmo como interpretación final.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2F2"/>
          </w:tcPr>
          <w:p>
            <w:r>
              <w:rPr>
                <w:b/>
                <w:sz w:val="20"/>
              </w:rPr>
              <w:t>Figura 1. Itinerario interpretativo</w:t>
            </w:r>
            <w:r>
              <w:rPr>
                <w:sz w:val="19"/>
              </w:rPr>
              <w:br/>
              <w:t>Situar el campo → reunir voces → cuidar el corpus → leer relaciones. La revisión humana ajusta rubros, exclusiones e interpretación.</w:t>
            </w:r>
          </w:p>
        </w:tc>
      </w:tr>
    </w:tbl>
    <w:p/>
    <w:p>
      <w:pPr>
        <w:pStyle w:val="Heading1"/>
      </w:pPr>
      <w:r>
        <w:t>Ejemplo conductor: tatuaje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vAlign w:val="center"/>
            <w:shd w:fill="E6E6E6"/>
          </w:tcPr>
          <w:p>
            <w:r/>
            <w:r>
              <w:rPr>
                <w:b/>
                <w:sz w:val="19"/>
              </w:rPr>
              <w:t>Rubro</w:t>
            </w:r>
          </w:p>
        </w:tc>
        <w:tc>
          <w:tcPr>
            <w:tcW w:type="dxa" w:w="6480"/>
            <w:vAlign w:val="center"/>
            <w:shd w:fill="E6E6E6"/>
          </w:tcPr>
          <w:p>
            <w:r/>
            <w:r>
              <w:rPr>
                <w:b/>
                <w:sz w:val="19"/>
              </w:rPr>
              <w:t>Variantes de búsqueda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b w:val="0"/>
                <w:sz w:val="19"/>
              </w:rPr>
              <w:t>Núcleo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19"/>
              </w:rPr>
              <w:t>tatuaje, tatuajes, tattoo, tattoos, arte corporal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b w:val="0"/>
                <w:sz w:val="19"/>
              </w:rPr>
              <w:t>Oficio e industria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19"/>
              </w:rPr>
              <w:t>tatuador, tatuadora, estudio de tatuajes, artista del tatuaje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b w:val="0"/>
                <w:sz w:val="19"/>
              </w:rPr>
              <w:t>Identidad y memoria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19"/>
              </w:rPr>
              <w:t>significado de tatuaje, tatuaje e identidad, tatuaje y memoria, tatuaje religioso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b w:val="0"/>
                <w:sz w:val="19"/>
              </w:rPr>
              <w:t>Sociedad y trabajo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19"/>
              </w:rPr>
              <w:t>tatuaje y juventud, tatuaje y empleo, tatuaje y discriminación, tatuaje y género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b w:val="0"/>
                <w:sz w:val="19"/>
              </w:rPr>
              <w:t>Salud y regulación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19"/>
              </w:rPr>
              <w:t>tatuaje y salud, tintas para tatuaje, infección, regulación sanitaria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b w:val="0"/>
                <w:sz w:val="19"/>
              </w:rPr>
              <w:t>Estética y diseño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19"/>
              </w:rPr>
              <w:t>diseño de tatuaje, tatuaje tradicional, tatuaje mexicano, body art</w:t>
            </w:r>
          </w:p>
        </w:tc>
      </w:tr>
    </w:tbl>
    <w:p/>
    <w:p>
      <w:r>
        <w:t>Las exclusiones protegen la pregunta de investigación: cigar, tobacco, robusto o colonoscopic tattooing deben retirarse cuando el interés sea tatuaje corporal como práctica cultural.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2F2"/>
          </w:tcPr>
          <w:p>
            <w:r>
              <w:rPr>
                <w:b/>
                <w:sz w:val="20"/>
              </w:rPr>
              <w:t>Figura 2. Diseño de corpus</w:t>
            </w:r>
            <w:r>
              <w:rPr>
                <w:sz w:val="19"/>
              </w:rPr>
              <w:br/>
              <w:t>Pregunta cultural → rubros → años/región → capas de voz → cuidado del texto → lectura asistida.</w:t>
            </w:r>
          </w:p>
        </w:tc>
      </w:tr>
    </w:tbl>
    <w:p/>
    <w:p>
      <w:pPr>
        <w:pStyle w:val="Heading1"/>
      </w:pPr>
      <w:r>
        <w:t>Extracción responsable y evidencia parcial</w:t>
      </w:r>
    </w:p>
    <w:p>
      <w:r>
        <w:t>La corrida secuencial no busca todos los sinónimos a la vez. Primero consulta el término base del rubro y sólo expande a sinónimos si hace falta. Así se reduce saturación de índices y se conserva qué término produjo cada hallazgo.</w:t>
      </w:r>
    </w:p>
    <w:p>
      <w:r>
        <w:t>La extracción respeta límites de fuente. Antes de intentar texto completo se consulta robots.txt. Si una página no permite extracción, si es paywall o si sólo entrega título/resumen, el registro se conserva como ok_partial. Ese metadato sirve como señal trazable, pero no debe contarse como cuerpo textual completo.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584"/>
            <w:vAlign w:val="center"/>
            <w:shd w:fill="E6E6E6"/>
          </w:tcPr>
          <w:p>
            <w:r/>
            <w:r>
              <w:rPr>
                <w:b/>
                <w:sz w:val="19"/>
              </w:rPr>
              <w:t>Estado</w:t>
            </w:r>
          </w:p>
        </w:tc>
        <w:tc>
          <w:tcPr>
            <w:tcW w:type="dxa" w:w="3528"/>
            <w:vAlign w:val="center"/>
            <w:shd w:fill="E6E6E6"/>
          </w:tcPr>
          <w:p>
            <w:r/>
            <w:r>
              <w:rPr>
                <w:b/>
                <w:sz w:val="19"/>
              </w:rPr>
              <w:t>Qué significa</w:t>
            </w:r>
          </w:p>
        </w:tc>
        <w:tc>
          <w:tcPr>
            <w:tcW w:type="dxa" w:w="3600"/>
            <w:vAlign w:val="center"/>
            <w:shd w:fill="E6E6E6"/>
          </w:tcPr>
          <w:p>
            <w:r/>
            <w:r>
              <w:rPr>
                <w:b/>
                <w:sz w:val="19"/>
              </w:rPr>
              <w:t>Uso interpretativo</w:t>
            </w:r>
          </w:p>
        </w:tc>
      </w:tr>
      <w:tr>
        <w:tc>
          <w:tcPr>
            <w:tcW w:type="dxa" w:w="1584"/>
            <w:vAlign w:val="center"/>
          </w:tcPr>
          <w:p>
            <w:r/>
            <w:r>
              <w:rPr>
                <w:b w:val="0"/>
                <w:sz w:val="19"/>
              </w:rPr>
              <w:t>ok</w:t>
            </w:r>
          </w:p>
        </w:tc>
        <w:tc>
          <w:tcPr>
            <w:tcW w:type="dxa" w:w="3528"/>
            <w:vAlign w:val="center"/>
          </w:tcPr>
          <w:p>
            <w:r/>
            <w:r>
              <w:rPr>
                <w:b w:val="0"/>
                <w:sz w:val="19"/>
              </w:rPr>
              <w:t>Texto suficiente y permitido para análisis local.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9"/>
              </w:rPr>
              <w:t>Puede alimentar n-gramas, red narrativa y lectura cercana.</w:t>
            </w:r>
          </w:p>
        </w:tc>
      </w:tr>
      <w:tr>
        <w:tc>
          <w:tcPr>
            <w:tcW w:type="dxa" w:w="1584"/>
            <w:vAlign w:val="center"/>
          </w:tcPr>
          <w:p>
            <w:r/>
            <w:r>
              <w:rPr>
                <w:b w:val="0"/>
                <w:sz w:val="19"/>
              </w:rPr>
              <w:t>ok_partial</w:t>
            </w:r>
          </w:p>
        </w:tc>
        <w:tc>
          <w:tcPr>
            <w:tcW w:type="dxa" w:w="3528"/>
            <w:vAlign w:val="center"/>
          </w:tcPr>
          <w:p>
            <w:r/>
            <w:r>
              <w:rPr>
                <w:b w:val="0"/>
                <w:sz w:val="19"/>
              </w:rPr>
              <w:t>Título, resumen, RSS o metadato sin cuerpo completo.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9"/>
              </w:rPr>
              <w:t>Señal de presencia; no equivale a texto completo.</w:t>
            </w:r>
          </w:p>
        </w:tc>
      </w:tr>
      <w:tr>
        <w:tc>
          <w:tcPr>
            <w:tcW w:type="dxa" w:w="1584"/>
            <w:vAlign w:val="center"/>
          </w:tcPr>
          <w:p>
            <w:r/>
            <w:r>
              <w:rPr>
                <w:b w:val="0"/>
                <w:sz w:val="19"/>
              </w:rPr>
              <w:t>too_short</w:t>
            </w:r>
          </w:p>
        </w:tc>
        <w:tc>
          <w:tcPr>
            <w:tcW w:type="dxa" w:w="3528"/>
            <w:vAlign w:val="center"/>
          </w:tcPr>
          <w:p>
            <w:r/>
            <w:r>
              <w:rPr>
                <w:b w:val="0"/>
                <w:sz w:val="19"/>
              </w:rPr>
              <w:t>Texto demasiado breve o heredado.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9"/>
              </w:rPr>
              <w:t>Debe revisarse antes de usarlo en análisis textual.</w:t>
            </w:r>
          </w:p>
        </w:tc>
      </w:tr>
      <w:tr>
        <w:tc>
          <w:tcPr>
            <w:tcW w:type="dxa" w:w="1584"/>
            <w:vAlign w:val="center"/>
          </w:tcPr>
          <w:p>
            <w:r/>
            <w:r>
              <w:rPr>
                <w:b w:val="0"/>
                <w:sz w:val="19"/>
              </w:rPr>
              <w:t>error/fetch_error</w:t>
            </w:r>
          </w:p>
        </w:tc>
        <w:tc>
          <w:tcPr>
            <w:tcW w:type="dxa" w:w="3528"/>
            <w:vAlign w:val="center"/>
          </w:tcPr>
          <w:p>
            <w:r/>
            <w:r>
              <w:rPr>
                <w:b w:val="0"/>
                <w:sz w:val="19"/>
              </w:rPr>
              <w:t>No fue posible recuperar evidencia usable.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9"/>
              </w:rPr>
              <w:t>Cuenta como límite de cobertura.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2F2"/>
          </w:tcPr>
          <w:p>
            <w:r>
              <w:rPr>
                <w:b/>
                <w:sz w:val="20"/>
              </w:rPr>
              <w:t>Figura 3. Derechos de fuente y grados de evidencia</w:t>
            </w:r>
            <w:r>
              <w:rPr>
                <w:sz w:val="19"/>
              </w:rPr>
              <w:br/>
              <w:t>Índice público → URL/metadato → revisión de permiso → texto completo u ok_partial → análisis local. El sistema no evade paywalls, sesiones, CAPTCHAs ni espacios privados.</w:t>
            </w:r>
          </w:p>
        </w:tc>
      </w:tr>
    </w:tbl>
    <w:p/>
    <w:p>
      <w:pPr>
        <w:pStyle w:val="Heading1"/>
      </w:pPr>
      <w:r>
        <w:t>Red narrativa y tonalidad léxica</w:t>
      </w:r>
    </w:p>
    <w:p>
      <w:r>
        <w:t>La red narrativa se usa como mapa. Cada texto conecta actores, ideas, fuente, año, lugar y momentos del relato. La tonalidad léxica no se interpreta como emoción colectiva: funciona como indicador exploratorio de vocabulario valorativo y siempre debe volver a ejemplos textuales.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2F2"/>
          </w:tcPr>
          <w:p>
            <w:r>
              <w:rPr>
                <w:b/>
                <w:sz w:val="20"/>
              </w:rPr>
              <w:t>Figura 4. Red narrativa mínima</w:t>
            </w:r>
            <w:r>
              <w:rPr>
                <w:sz w:val="19"/>
              </w:rPr>
              <w:br/>
              <w:t>Texto conectado con actor, momento del relato, idea, fuente, año y lugar. Las aristas indican relaciones como menciona, publica, contiene, usa o sitúa.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2F2"/>
          </w:tcPr>
          <w:p>
            <w:r>
              <w:rPr>
                <w:b/>
                <w:sz w:val="20"/>
              </w:rPr>
              <w:t>Figura 5. Síntesis revisable</w:t>
            </w:r>
            <w:r>
              <w:rPr>
                <w:sz w:val="19"/>
              </w:rPr>
              <w:br/>
              <w:t>Corpus depurado → mapa de relaciones → nodos relevantes → lectura cercana. El algoritmo sugiere entradas; la interpretación vuelve al corpus.</w:t>
            </w:r>
          </w:p>
        </w:tc>
      </w:tr>
    </w:tbl>
    <w:p/>
    <w:p>
      <w:pPr>
        <w:pStyle w:val="Heading1"/>
      </w:pPr>
      <w:r>
        <w:t>Salida reproducible</w:t>
      </w:r>
    </w:p>
    <w:p>
      <w:r>
        <w:t>La aplicación local exporta evidencia estructurada con registros filtrados, procedencia, limpieza, clasificación de fuente, tonalidad léxica, eventos narrativos, actores, grupos de ideas y mapas de relaciones. Para una publicación robusta falta consolidar un manifiesto de corrida con fecha, parámetros, versión del código, cuotas, semillas y huella del corpus final.</w:t>
      </w:r>
    </w:p>
    <w:p>
      <w:pPr>
        <w:pStyle w:val="Heading1"/>
      </w:pPr>
      <w:r>
        <w:t>Límites y sesgos</w:t>
      </w:r>
    </w:p>
    <w:p>
      <w:r>
        <w:t>El corpus no representa por sí mismo a una sociedad: representa una colección situada de huellas disponibles. Puede haber sesgo de idioma, clase social, alfabetización digital, centralidad urbana, disponibilidad de fuentes, moderación de plataformas, agenda periodística y sobrerrepresentación sanitaria o institucional. Los foros, Reddit público, blogs y comunidades abiertas son señales de conversación pública indexable; no equivalen a toda la conversación social. Las exclusiones también son decisiones interpretativas; por eso deben registrarse y justificarse.</w:t>
      </w:r>
    </w:p>
    <w:p>
      <w:pPr>
        <w:pStyle w:val="Heading1"/>
      </w:pPr>
      <w:r>
        <w:t>Nota técnica mínima</w:t>
      </w:r>
    </w:p>
    <w:p>
      <w:r>
        <w:t>La selección de nodos relevantes puede formalizarse como cobertura sobre el mapa de relaciones. Se buscan conjuntos pequeños de nodos que mantengan alta relevancia y bajo daño estructural. Los detalles algorítmicos quedan como apéndice porque la pregunta principal es interpretativa.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