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spacing w:line="240" w:lineRule="auto"/>
        <w:tabs>
          <w:tab w:val="left" w:pos="426" w:leader="none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«НАЦИОНАЛЬНЫЙ ИССЛЕДОВАТЕЛЬСКИЙ УНИВЕРСИТЕТ ИТМО»</w:t>
      </w:r>
      <w:r/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tl w:val="0"/>
        </w:rPr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ОТЧЕТ</w:t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</w:t>
        <w:br/>
        <w:t xml:space="preserve">«Планирование безопасного путешествия в мультикультурной среде»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/>
    </w:p>
    <w:p>
      <w:pPr>
        <w:jc w:val="center"/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Культура безопасности жизнедеятельности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 </w:t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Автор:</w:t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Факультет: </w:t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 </w:t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Преподаватель: Черкасова М. О.</w:t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spacing w:before="120" w:line="2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before="240"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76513" cy="1012952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576513" cy="10129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2.9pt;height:79.8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firstLine="142"/>
        <w:jc w:val="center"/>
        <w:spacing w:after="200"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Санкт-Петербург, 2023</w:t>
      </w:r>
      <w:r>
        <w:br w:type="page" w:clear="all"/>
      </w:r>
      <w:r>
        <w:rPr>
          <w:rtl w:val="0"/>
        </w:rPr>
      </w:r>
      <w:r/>
    </w:p>
    <w:p>
      <w:pPr>
        <w:numPr>
          <w:ilvl w:val="0"/>
          <w:numId w:val="1"/>
        </w:numPr>
        <w:ind w:left="4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Анализ района</w:t>
      </w:r>
      <w:r/>
    </w:p>
    <w:p>
      <w:pPr>
        <w:ind w:left="4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</w:t>
      </w:r>
      <w:r/>
    </w:p>
    <w:tbl>
      <w:tblPr>
        <w:tblStyle w:val="635"/>
        <w:tblW w:w="9639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  <w:tblGridChange w:id="0">
          <w:tblGrid>
            <w:gridCol w:w="1868"/>
            <w:gridCol w:w="7771"/>
          </w:tblGrid>
        </w:tblGridChange>
      </w:tblGrid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Географическое положение 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bCs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14:ligatures w14:val="no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  <w:t xml:space="preserve">Район путешествия находится на юго-западе Франции, на побережье Средиземного моря. Район граничит с Испанией на юге и Альпами на севере.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bCs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14:ligatures w14:val="none"/>
              </w:rPr>
            </w:r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Социальное и политическое устройство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Район относится к республике Франции, административно подразделяется на несколько департаментов. Население района составляет около 5 миллионов человек.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Климат</w:t>
            </w:r>
            <w:r/>
          </w:p>
        </w:tc>
        <w:tc>
          <w:tcPr>
            <w:textDirection w:val="lrTb"/>
            <w:noWrap w:val="false"/>
          </w:tcPr>
          <w:p>
            <w:pPr>
              <w:ind w:left="34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Климат в районе средиземноморского типа. Летом здесь жарко и сухо, средняя температура воздуха составляет около +30°C. Зимой температуры не падают ниже +5°C, осадков мало.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/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>
              <w:rPr>
                <w:rtl w:val="0"/>
              </w:rPr>
            </w:r>
            <w:r/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Туристские ресурсы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Основные показатели:</w:t>
            </w:r>
            <w:r/>
          </w:p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Район популярен среди туристов благодаря своим пляжам, красивой природе и культурным достопримечательностям. Здесь развиты гольф-клубы, винодельческие маршруты, а также имеется возможность заняться водными видами спорта.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Места притяжения (туристского интереса):</w:t>
            </w:r>
            <w:r/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город Ницца с его историческим центром, музеями и пляжами;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Канны с знаменитой набережной, казино и кинофестивалем;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монастырь Мон-Сен-Мишель-де-Лерин на острове Лерен с красивой природой и музеем;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город Марсель с его историческими достопримечательностями и портом;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природный парк Каланк в Альпах с живописными пейзажами и возможностью походов.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tl w:val="0"/>
              </w:rPr>
            </w:r>
            <w:r/>
          </w:p>
          <w:p>
            <w:pPr>
              <w:ind w:left="72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Пассажирское сообщение</w:t>
            </w:r>
            <w:r/>
          </w:p>
        </w:tc>
        <w:tc>
          <w:tcPr>
            <w:textDirection w:val="lrTb"/>
            <w:noWrap w:val="false"/>
          </w:tcPr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Район хорошо развит в плане транспортной инфраструктуры. Есть несколько аэропортов, железнодорожные и автобусные станции, а также развита сеть автомобильных дорог.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Выбор сезона и сроков путешествия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Район популярен для посещения в летний период, особенно с июня по сентябрь, когда температуры высокие и возможность купаться в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море. Однако, весна и осень также являются подходящими временами для путешествия, когда температуры более мягкие, а туристов меньше. Зимой район не является особо популярным для туризма, так как температуры холодные, но есть возможность заняться зимними вид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ами спорта в горах.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Сроками поездки выбираю: 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лето/осень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.</w:t>
            </w:r>
            <w:r>
              <w:rPr>
                <w:rtl w:val="0"/>
              </w:rPr>
            </w:r>
            <w:r/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ind w:left="4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numPr>
          <w:ilvl w:val="0"/>
          <w:numId w:val="1"/>
        </w:numPr>
        <w:ind w:left="420" w:right="0" w:hanging="36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Модель поведения и обеспечение личной безопасности</w:t>
      </w:r>
      <w:r/>
    </w:p>
    <w:p>
      <w:pPr>
        <w:ind w:left="4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tbl>
      <w:tblPr>
        <w:tblStyle w:val="636"/>
        <w:tblW w:w="9639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  <w:tblGridChange w:id="1">
          <w:tblGrid>
            <w:gridCol w:w="3402"/>
            <w:gridCol w:w="6237"/>
          </w:tblGrid>
        </w:tblGridChange>
      </w:tblGrid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Риски</w:t>
            </w:r>
            <w:r/>
          </w:p>
        </w:tc>
        <w:tc>
          <w:tcPr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  <w:t xml:space="preserve">При путешествии возможны различные риски, такие как кражи, ограбления, заблудение, травмы, болезни и т.д. Риски могут зависеть от места путешествия, климата, сезона, выбранного вида путешествия, культурных и религиозных особенностей района.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highlight w:val="yellow"/>
                <w:rtl w:val="0"/>
              </w:rPr>
            </w:r>
            <w:r/>
          </w:p>
          <w:p>
            <w:pPr>
              <w:ind w:left="322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Особенности поведения для обеспечения личной безопасности</w:t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Изучение информации о районе путешествия, особенностях местной культуры и религии, законодательстве, местах, которые следует избегать.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Соблюдение мер безопасности, таких как ношение денег и документов в безопасных местах, не ношение дорогих украшений, не оставление вещей без присмотра.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Использование услуг надежных туристических агентств, знакомство с местными правилами и законами.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Общение с местными жителями в уважительной форме, соблюдение культурных норм и правил поведения.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Планирование маршрута, изучение общественного транспорта, мест, где можно обменять деньги, купить продукты и т.д.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Следование мерам безопасности на дороге, особенно водителям, а также использование надежных транспортных средств.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Перед путешествием стоит проверить своё здоровье, приобрести медицинскую страховку и некоторые необходимые медицинские средства, такие как лекарства от аллергии и т.д.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Следование правилам пожарной безопасности, если они применимы, особенно в лесных и горных районах.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</w:r>
          </w:p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/>
              <w:rPr>
                <w:rFonts w:ascii="Times New Roman" w:hAnsi="Times New Roman" w:eastAsia="Times New Roman" w:cs="Times New Roman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В зависимости от выбранного вида путешествия, климата и культурных особенностей района, поведение может иметь свои особенности. Например, если путешествие происходит в экстремальных условиях, как на Антарктике или в пустыне, нужно соблюдать специальные меры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безопасности, связанные с температурными условиями, гидратацией, приготовлением пищи и т.д. Если район имеет свои религиозные и культурные особенности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smallCaps w:val="0"/>
                <w:strike w:val="0"/>
                <w:color w:val="000000"/>
                <w:sz w:val="24"/>
                <w:szCs w:val="24"/>
                <w:highlight w:val="none"/>
                <w:u w:val="none"/>
                <w:vertAlign w:val="baseline"/>
                <w:rtl w:val="0"/>
              </w:rPr>
              <w:t xml:space="preserve">.</w:t>
            </w:r>
            <w:r>
              <w:rPr>
                <w:rtl w:val="0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ind w:left="42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 3.  Подбор пакета страхования</w:t>
      </w:r>
      <w:r/>
    </w:p>
    <w:p>
      <w:pPr>
        <w:jc w:val="both"/>
        <w:spacing w:after="200"/>
      </w:pP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Для выбора страховой компании были использованы поисковые сервисы, и была выбрана компания "Ренессанс Страхование" (В основном из-за того, что пользуюсь им во время пребывания в России). Был подобран пакет страхования "Стандартный", который включает в себя следующие виды страхования: медицинский страховой полис на весь срок пу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тешествия, страхование от несчастных случаев, страхование багажа и гражданской ответственности.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jc w:val="both"/>
        <w:spacing w:after="200"/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jc w:val="both"/>
        <w:spacing w:after="200"/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Причиной выбора данного пакета страхования стала его полнота и достаточность для большинства типов путешествий, а также репутация и доверие к компании "Ренессанс Страхование".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jc w:val="both"/>
        <w:spacing w:after="200"/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Выводы: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jc w:val="both"/>
        <w:spacing w:after="200"/>
        <w:rPr>
          <w:rFonts w:ascii="Times New Roman" w:hAnsi="Times New Roman" w:eastAsia="Times New Roman" w:cs="Times New Roman"/>
          <w:bCs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При выборе страховой компании и пакета страхования необходимо учитывать все особенности и риски путешествия, а также репутацию и доверие к компании. Пакет "Стандартный" от компании "Ренессанс Страхование" представляется достаточно полным и соответствующим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ольшинству типов путешествий.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/>
      <w:r/>
    </w:p>
    <w:p>
      <w:pPr>
        <w:jc w:val="both"/>
        <w:spacing w:after="20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tl w:val="0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 4.  Чек-лист в путешествие</w:t>
      </w:r>
      <w:r>
        <w:rPr>
          <w:rtl w:val="0"/>
        </w:rPr>
      </w:r>
      <w:r/>
    </w:p>
    <w:p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Район путешествия: поездка из Астаны, Казахстан в Казань, Россия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Выбранный сезон путешествия: осень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Характер поездки: туристический, экскурсионный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</w:r>
      <w:r/>
    </w:p>
    <w:tbl>
      <w:tblPr>
        <w:tblStyle w:val="637"/>
        <w:tblW w:w="9351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  <w:tblGridChange w:id="2">
          <w:tblGrid>
            <w:gridCol w:w="636"/>
            <w:gridCol w:w="8715"/>
          </w:tblGrid>
        </w:tblGridChange>
      </w:tblGrid>
      <w:tr>
        <w:trPr>
          <w:cantSplit w:val="false"/>
        </w:trPr>
        <w:tc>
          <w:tcPr>
            <w:gridSpan w:val="2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Транспортировочное 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2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Пластиковый чемодан на колесах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Рюкзак туристический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Одежда/обувь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3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Куртка/пальто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Свитеры/джемперы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Джинсы/брюки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Кроссовки/ботинки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Перчатки/шапка/шарф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Бивуачное снаряжение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4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Не требуется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Документы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5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Паспорт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Билеты на транспорт (проездной)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Бронь гостиницы/апартаментов? (Если не онлайн бронь)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Медицинская страховка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Другие необходимые документы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Гигиена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6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Зубная щетка и зубная паста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Шампунь и гель для душа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Аптечка первой помощи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Влажные салфетки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Специальное снаряжение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7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Фонарик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Компактный зонтик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Карта города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 (для аутентичности, если не хочется пользоваться 2gis)</w:t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Гаджеты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8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Смартфон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Зарядное устройство для смартфона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Фотоаппарат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Планшет/ноутбук (если требуется)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tl w:val="0"/>
              </w:rPr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Прочее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080" cy="259080"/>
                      <wp:effectExtent l="0" t="0" r="0" b="0"/>
                      <wp:docPr id="9" name="image1.png" descr="Значок &quot;Галочка1&quot; со сплошной заливкой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Значок &quot;Галочка1&quot; со сплошной заливкой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20.4pt;height:20.4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vAlign w:val="center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Сумка для документов и наличных денег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Книга/журнал для чтения в пути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  <w:p>
            <w:pP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Рюкзак для небольших прогулок по городу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</w:tbl>
    <w:p>
      <w:pPr>
        <w:jc w:val="both"/>
        <w:spacing w:after="2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/>
    </w:p>
    <w:p>
      <w:pPr>
        <w:jc w:val="both"/>
        <w:spacing w:after="20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 5.  Личная аптечка и экстренная помощь</w:t>
      </w:r>
      <w:r/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yellow"/>
          <w:rtl w:val="0"/>
        </w:rPr>
        <w:t xml:space="preserve">Заполнить таблицу, опираясь на образец, собаственные знания и дополнительные материалы.</w:t>
      </w: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tbl>
      <w:tblPr>
        <w:tblStyle w:val="638"/>
        <w:tblW w:w="9570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  <w:tblGridChange w:id="3">
          <w:tblGrid>
            <w:gridCol w:w="660"/>
            <w:gridCol w:w="2535"/>
            <w:gridCol w:w="1080"/>
            <w:gridCol w:w="529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№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Наименование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Кол-во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Действие и способ применения</w:t>
            </w:r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Анальгин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таблеток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Болеутоляющее и жаропонижающее средство. Принимать по 1-2 таблетки 1-3 раза в день после еды.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Аспирин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таблеток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Противовоспалительное, жаропонижающее и противоагрегантное средство. Принимать по 1 таблетке 1-3 раза в день после еды.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Антигистаминное средство (Лоратадин)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таблеток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от аллергических реакций. Принимать по 1 таблетке 1 раз в день.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Пробиотик (Линекс)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капсул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для поддержки нормальной микрофлоры желудочно-кишечного тракта. Принимать по 1 капсуле 1-2 раза в день после еды.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Перевязочный материал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по необходимости</w:t>
            </w:r>
            <w:r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Для оказания первой помощи при ранениях и травмах.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Антисептик (перекись водорода)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по необходимости </w:t>
            </w:r>
            <w:r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Для обработки ран и травм.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Мазь от укусов насекомых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по необходимости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Для обработки укусов насекомых и облегчения зуда.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от диареи (Лоперамид)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 таблеток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для остановки диареи. Принимать по 2 таблетки на первый прием, затем по 1 таблетке после каждого дефекации.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Средство для очищения кишечника (Фортранс)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1 упаковка </w:t>
            </w:r>
            <w:r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Для подготовки к медицинским процедурам, например, к эндоскопии. Принимать по инструкции врача.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993" w:right="1277" w:bottom="1231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3"/>
    <w:link w:val="60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3"/>
    <w:link w:val="61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3"/>
    <w:link w:val="61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3"/>
    <w:link w:val="61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3"/>
    <w:link w:val="61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3"/>
    <w:link w:val="61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3"/>
    <w:link w:val="627"/>
    <w:uiPriority w:val="10"/>
    <w:rPr>
      <w:sz w:val="48"/>
      <w:szCs w:val="48"/>
    </w:rPr>
  </w:style>
  <w:style w:type="character" w:styleId="37">
    <w:name w:val="Subtitle Char"/>
    <w:basedOn w:val="623"/>
    <w:link w:val="634"/>
    <w:uiPriority w:val="11"/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paragraph" w:styleId="44">
    <w:name w:val="Footer"/>
    <w:basedOn w:val="61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3"/>
    <w:link w:val="44"/>
    <w:uiPriority w:val="99"/>
  </w:style>
  <w:style w:type="paragraph" w:styleId="46">
    <w:name w:val="Caption"/>
    <w:basedOn w:val="616"/>
    <w:next w:val="6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07">
    <w:name w:val="Normal"/>
  </w:style>
  <w:style w:type="paragraph" w:styleId="609">
    <w:name w:val="Heading 1"/>
    <w:basedOn w:val="607"/>
    <w:next w:val="607"/>
    <w:pPr>
      <w:keepLines/>
      <w:keepNext/>
      <w:spacing w:before="400" w:after="120"/>
    </w:pPr>
    <w:rPr>
      <w:sz w:val="40"/>
      <w:szCs w:val="40"/>
    </w:rPr>
  </w:style>
  <w:style w:type="paragraph" w:styleId="610">
    <w:name w:val="Heading 2"/>
    <w:basedOn w:val="607"/>
    <w:next w:val="607"/>
    <w:pPr>
      <w:keepLines/>
      <w:keepNext/>
      <w:spacing w:before="360" w:after="120"/>
    </w:pPr>
    <w:rPr>
      <w:sz w:val="32"/>
      <w:szCs w:val="32"/>
    </w:rPr>
  </w:style>
  <w:style w:type="paragraph" w:styleId="611">
    <w:name w:val="Heading 3"/>
    <w:basedOn w:val="607"/>
    <w:next w:val="607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612">
    <w:name w:val="Heading 4"/>
    <w:basedOn w:val="607"/>
    <w:next w:val="607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613">
    <w:name w:val="Heading 5"/>
    <w:basedOn w:val="607"/>
    <w:next w:val="607"/>
    <w:pPr>
      <w:keepLines/>
      <w:keepNext/>
      <w:spacing w:before="240" w:after="80"/>
    </w:pPr>
    <w:rPr>
      <w:color w:val="666666"/>
    </w:rPr>
  </w:style>
  <w:style w:type="paragraph" w:styleId="614">
    <w:name w:val="Heading 6"/>
    <w:basedOn w:val="607"/>
    <w:next w:val="607"/>
    <w:pPr>
      <w:keepLines/>
      <w:keepNext/>
      <w:spacing w:before="240" w:after="80"/>
    </w:pPr>
    <w:rPr>
      <w:i/>
      <w:color w:val="666666"/>
    </w:rPr>
  </w:style>
  <w:style w:type="paragraph" w:styleId="615">
    <w:name w:val="Title"/>
    <w:basedOn w:val="607"/>
    <w:next w:val="607"/>
    <w:pPr>
      <w:keepLines/>
      <w:keepNext/>
      <w:spacing w:after="60"/>
    </w:pPr>
    <w:rPr>
      <w:sz w:val="52"/>
      <w:szCs w:val="52"/>
    </w:rPr>
  </w:style>
  <w:style w:type="paragraph" w:styleId="616">
    <w:name w:val="Normal"/>
    <w:qFormat/>
  </w:style>
  <w:style w:type="paragraph" w:styleId="617">
    <w:name w:val="Heading 1"/>
    <w:basedOn w:val="616"/>
    <w:next w:val="616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18">
    <w:name w:val="Heading 2"/>
    <w:basedOn w:val="616"/>
    <w:next w:val="616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19">
    <w:name w:val="Heading 3"/>
    <w:basedOn w:val="616"/>
    <w:next w:val="616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20">
    <w:name w:val="Heading 4"/>
    <w:basedOn w:val="616"/>
    <w:next w:val="616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21">
    <w:name w:val="Heading 5"/>
    <w:basedOn w:val="616"/>
    <w:next w:val="616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22">
    <w:name w:val="Heading 6"/>
    <w:basedOn w:val="616"/>
    <w:next w:val="616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table" w:styleId="62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7">
    <w:name w:val="Title"/>
    <w:basedOn w:val="616"/>
    <w:next w:val="616"/>
    <w:uiPriority w:val="10"/>
    <w:qFormat/>
    <w:pPr>
      <w:keepLines/>
      <w:keepNext/>
      <w:spacing w:after="60"/>
    </w:pPr>
    <w:rPr>
      <w:sz w:val="52"/>
      <w:szCs w:val="52"/>
    </w:rPr>
  </w:style>
  <w:style w:type="table" w:styleId="62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9">
    <w:name w:val="Subtitle"/>
    <w:basedOn w:val="616"/>
    <w:next w:val="616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630" w:customStyle="1">
    <w:name w:val="StGen0"/>
    <w:basedOn w:val="62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1" w:customStyle="1">
    <w:name w:val="StGen1"/>
    <w:basedOn w:val="62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32">
    <w:name w:val="List Paragraph"/>
    <w:basedOn w:val="616"/>
    <w:uiPriority w:val="34"/>
    <w:qFormat/>
    <w:pPr>
      <w:contextualSpacing/>
      <w:ind w:left="720"/>
    </w:pPr>
  </w:style>
  <w:style w:type="table" w:styleId="633">
    <w:name w:val="Table Grid"/>
    <w:basedOn w:val="624"/>
    <w:uiPriority w:val="3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34">
    <w:name w:val="Subtitle"/>
    <w:basedOn w:val="607"/>
    <w:next w:val="607"/>
    <w:pPr>
      <w:keepLines/>
      <w:keepNext/>
      <w:spacing w:after="320"/>
    </w:pPr>
    <w:rPr>
      <w:color w:val="666666"/>
      <w:sz w:val="30"/>
      <w:szCs w:val="30"/>
    </w:rPr>
  </w:style>
  <w:style w:type="table" w:styleId="635">
    <w:name w:val="StGen2"/>
    <w:basedOn w:val="626"/>
    <w:pPr>
      <w:spacing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StGen3"/>
    <w:basedOn w:val="626"/>
    <w:pPr>
      <w:spacing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637">
    <w:name w:val="StGen4"/>
    <w:basedOn w:val="626"/>
    <w:pPr>
      <w:spacing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638">
    <w:name w:val="StGen5"/>
    <w:basedOn w:val="626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2021-08-21T08:03:00Z</dcterms:created>
  <dcterms:modified xsi:type="dcterms:W3CDTF">2023-04-03T12:29:31Z</dcterms:modified>
</cp:coreProperties>
</file>